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48"/>
          <w:szCs w:val="36"/>
        </w:rPr>
      </w:pPr>
      <w:r>
        <w:rPr>
          <w:rFonts w:hint="eastAsia"/>
          <w:b/>
          <w:sz w:val="48"/>
          <w:szCs w:val="36"/>
          <w:lang w:val="en-US" w:eastAsia="zh-CN"/>
        </w:rPr>
        <w:t>招标</w:t>
      </w:r>
      <w:r>
        <w:rPr>
          <w:rFonts w:hint="eastAsia"/>
          <w:b/>
          <w:sz w:val="48"/>
          <w:szCs w:val="36"/>
        </w:rPr>
        <w:t>文件</w:t>
      </w:r>
      <w:r>
        <w:rPr>
          <w:rFonts w:hint="eastAsia"/>
          <w:b/>
          <w:sz w:val="48"/>
          <w:szCs w:val="36"/>
          <w:lang w:val="en-US" w:eastAsia="zh-CN"/>
        </w:rPr>
        <w:t>领</w:t>
      </w:r>
      <w:r>
        <w:rPr>
          <w:rFonts w:hint="eastAsia"/>
          <w:b/>
          <w:sz w:val="48"/>
          <w:szCs w:val="36"/>
        </w:rPr>
        <w:t>购登记表</w:t>
      </w:r>
    </w:p>
    <w:p>
      <w:pPr>
        <w:rPr>
          <w:sz w:val="24"/>
        </w:rPr>
      </w:pPr>
    </w:p>
    <w:tbl>
      <w:tblPr>
        <w:tblStyle w:val="7"/>
        <w:tblpPr w:leftFromText="180" w:rightFromText="180" w:vertAnchor="text" w:horzAnchor="page" w:tblpXSpec="center" w:tblpY="305"/>
        <w:tblOverlap w:val="never"/>
        <w:tblW w:w="14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686"/>
        <w:gridCol w:w="1888"/>
        <w:gridCol w:w="3413"/>
        <w:gridCol w:w="2721"/>
        <w:gridCol w:w="3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项目编号</w:t>
            </w:r>
          </w:p>
        </w:tc>
        <w:tc>
          <w:tcPr>
            <w:tcW w:w="530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购日期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ind w:firstLine="840" w:firstLineChars="3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4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530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包组号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招标文件领购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信用代码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营业执照地址</w:t>
            </w:r>
          </w:p>
        </w:tc>
        <w:tc>
          <w:tcPr>
            <w:tcW w:w="5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固话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630" w:firstLineChars="300"/>
        <w:rPr>
          <w:rFonts w:hint="eastAsia"/>
        </w:rPr>
      </w:pPr>
    </w:p>
    <w:p>
      <w:pPr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1120" w:firstLineChars="400"/>
        <w:jc w:val="left"/>
        <w:rPr>
          <w:rFonts w:hint="eastAsia"/>
          <w:sz w:val="28"/>
          <w:szCs w:val="28"/>
          <w:lang w:val="en-US" w:eastAsia="zh-CN"/>
        </w:rPr>
        <w:sectPr>
          <w:pgSz w:w="16838" w:h="11906" w:orient="landscape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广东省国晟招标有限公司  制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联合体协议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立约方：（甲公司全称）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（乙公司全称）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（甲公司全称）、（乙公司全称）自愿组成联合体，以一个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的身份共同参加（采购项目名称）（采购项目编号）的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活动。经各方充分协商一致，就项目的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和合同实施阶段的有关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事务协商一致订立协议如下：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" w:line="480" w:lineRule="exact"/>
        <w:ind w:left="166" w:right="553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一、联合体各方关系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 w:right="169" w:firstLine="560" w:firstLineChars="200"/>
        <w:textAlignment w:val="auto"/>
        <w:rPr>
          <w:rFonts w:hint="eastAsia" w:ascii="仿宋" w:hAnsi="仿宋" w:eastAsia="仿宋" w:cs="仿宋"/>
          <w:spacing w:val="-1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（甲公司全称）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（乙公司全称）</w:t>
      </w:r>
      <w:r>
        <w:rPr>
          <w:rFonts w:hint="eastAsia" w:ascii="仿宋" w:hAnsi="仿宋" w:eastAsia="仿宋" w:cs="仿宋"/>
          <w:sz w:val="28"/>
          <w:szCs w:val="28"/>
        </w:rPr>
        <w:t>共同组成一个联合体，以一个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的身份共同参加本项目的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（甲公司全称）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（乙公司全称）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作为联合体成员，若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，联合体各方共同与签订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施工合同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 w:right="169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二、联合体内部有关事项约定如下：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（牵头单位名称） </w:t>
      </w:r>
      <w:r>
        <w:rPr>
          <w:rFonts w:hint="eastAsia" w:ascii="仿宋" w:hAnsi="仿宋" w:eastAsia="仿宋" w:cs="仿宋"/>
          <w:sz w:val="28"/>
          <w:szCs w:val="28"/>
        </w:rPr>
        <w:t>作为联合体的牵头单位，代表联合体双方负责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和合同实施阶段的主办、协调工作。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480" w:lineRule="exact"/>
        <w:ind w:right="181" w:rightChars="0" w:firstLine="556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联合体将严格按照文件的各项要求，递交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文件，切实执行一切合同文件，共同承担合同规定的一切义务和责任，同时按</w:t>
      </w:r>
      <w:r>
        <w:rPr>
          <w:rFonts w:hint="eastAsia" w:ascii="仿宋" w:hAnsi="仿宋" w:eastAsia="仿宋" w:cs="仿宋"/>
          <w:sz w:val="28"/>
          <w:szCs w:val="28"/>
        </w:rPr>
        <w:t>照内部职责的划分，承担自身所负的责任和风险，在法律在承担连带责任。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 w:firstLine="556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如果本联合体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（甲公司全称）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负责本项目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部分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（乙公司全称）</w:t>
      </w:r>
      <w:r>
        <w:rPr>
          <w:rFonts w:hint="eastAsia" w:ascii="仿宋" w:hAnsi="仿宋" w:eastAsia="仿宋" w:cs="仿宋"/>
          <w:sz w:val="28"/>
          <w:szCs w:val="28"/>
        </w:rPr>
        <w:t>负责本项目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部分。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</w:rPr>
        <w:t>，联合体各方共同与（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招标人</w:t>
      </w:r>
      <w:r>
        <w:rPr>
          <w:rFonts w:hint="eastAsia" w:ascii="仿宋" w:hAnsi="仿宋" w:eastAsia="仿宋" w:cs="仿宋"/>
          <w:sz w:val="28"/>
          <w:szCs w:val="28"/>
        </w:rPr>
        <w:t>）签订合同书，并就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</w:rPr>
        <w:t>项目向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招标人</w:t>
      </w:r>
      <w:r>
        <w:rPr>
          <w:rFonts w:hint="eastAsia" w:ascii="仿宋" w:hAnsi="仿宋" w:eastAsia="仿宋" w:cs="仿宋"/>
          <w:sz w:val="28"/>
          <w:szCs w:val="28"/>
        </w:rPr>
        <w:t>负责有连带的和各自的法律责任；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 w:right="169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三、联合体各方不得再以自己名义参与本项目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，联合体各方不能作为其它联合体或单独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单位的项目组成员参加本项目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。因发生上述问题导致联合体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成为无效报价，联合体的其他成员可追究其违约责任和经济损失。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 w:right="169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四、联合体如因违约过失责任而导致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招标人</w:t>
      </w:r>
      <w:r>
        <w:rPr>
          <w:rFonts w:hint="eastAsia" w:ascii="仿宋" w:hAnsi="仿宋" w:eastAsia="仿宋" w:cs="仿宋"/>
          <w:sz w:val="28"/>
          <w:szCs w:val="28"/>
        </w:rPr>
        <w:t>经济损失或被索赔时，本联合体任何一方均同意无条件优先清偿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招标人</w:t>
      </w:r>
      <w:r>
        <w:rPr>
          <w:rFonts w:hint="eastAsia" w:ascii="仿宋" w:hAnsi="仿宋" w:eastAsia="仿宋" w:cs="仿宋"/>
          <w:sz w:val="28"/>
          <w:szCs w:val="28"/>
        </w:rPr>
        <w:t>的一切债务和经济赔偿。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五、本协议在自签署之日起生效，有效期内有效，如获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</w:rPr>
        <w:t>资格，合同有效期延续至合同履行完毕之日。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六、本协议书正本一式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份，随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</w:rPr>
        <w:t>文件装订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份，送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份，联合体成员各一份；副本一式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份，联合体成员各执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right="937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甲公司全称：（盖章）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32"/>
        </w:rPr>
        <w:t xml:space="preserve"> 乙公司全称：（盖章）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法定代表人：（签字或盖章）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32"/>
        </w:rPr>
        <w:t xml:space="preserve"> 法定代表人（签字或盖章）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32"/>
        </w:rPr>
        <w:t>年</w:t>
      </w:r>
      <w:r>
        <w:rPr>
          <w:rFonts w:hint="eastAsia" w:ascii="仿宋" w:hAnsi="仿宋" w:eastAsia="仿宋" w:cs="仿宋"/>
          <w:sz w:val="28"/>
          <w:szCs w:val="32"/>
        </w:rPr>
        <w:tab/>
      </w:r>
      <w:r>
        <w:rPr>
          <w:rFonts w:hint="eastAsia" w:ascii="仿宋" w:hAnsi="仿宋" w:eastAsia="仿宋" w:cs="仿宋"/>
          <w:sz w:val="28"/>
          <w:szCs w:val="32"/>
        </w:rPr>
        <w:t>月</w:t>
      </w:r>
      <w:r>
        <w:rPr>
          <w:rFonts w:hint="eastAsia" w:ascii="仿宋" w:hAnsi="仿宋" w:eastAsia="仿宋" w:cs="仿宋"/>
          <w:sz w:val="28"/>
          <w:szCs w:val="32"/>
        </w:rPr>
        <w:tab/>
      </w:r>
      <w:r>
        <w:rPr>
          <w:rFonts w:hint="eastAsia" w:ascii="仿宋" w:hAnsi="仿宋" w:eastAsia="仿宋" w:cs="仿宋"/>
          <w:sz w:val="28"/>
          <w:szCs w:val="32"/>
        </w:rPr>
        <w:t>日</w:t>
      </w:r>
      <w:r>
        <w:rPr>
          <w:rFonts w:hint="eastAsia" w:ascii="仿宋" w:hAnsi="仿宋" w:eastAsia="仿宋" w:cs="仿宋"/>
          <w:sz w:val="22"/>
          <w:szCs w:val="28"/>
        </w:rPr>
        <w:tab/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2"/>
        </w:rPr>
        <w:t>年</w:t>
      </w:r>
      <w:r>
        <w:rPr>
          <w:rFonts w:hint="eastAsia" w:ascii="仿宋" w:hAnsi="仿宋" w:eastAsia="仿宋" w:cs="仿宋"/>
          <w:sz w:val="28"/>
          <w:szCs w:val="32"/>
        </w:rPr>
        <w:tab/>
      </w:r>
      <w:r>
        <w:rPr>
          <w:rFonts w:hint="eastAsia" w:ascii="仿宋" w:hAnsi="仿宋" w:eastAsia="仿宋" w:cs="仿宋"/>
          <w:sz w:val="28"/>
          <w:szCs w:val="32"/>
        </w:rPr>
        <w:t>月</w:t>
      </w:r>
      <w:r>
        <w:rPr>
          <w:rFonts w:hint="eastAsia" w:ascii="仿宋" w:hAnsi="仿宋" w:eastAsia="仿宋" w:cs="仿宋"/>
          <w:sz w:val="28"/>
          <w:szCs w:val="32"/>
        </w:rPr>
        <w:tab/>
      </w:r>
      <w:r>
        <w:rPr>
          <w:rFonts w:hint="eastAsia" w:ascii="仿宋" w:hAnsi="仿宋" w:eastAsia="仿宋" w:cs="仿宋"/>
          <w:sz w:val="28"/>
          <w:szCs w:val="32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联合投标时需签本协议，联合体各方成员应在本协议上共同盖章确认。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6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本协议内容不得擅自修改。此协议将作为签订合同的附件之一。</w:t>
      </w:r>
    </w:p>
    <w:p>
      <w:pPr>
        <w:ind w:firstLine="1120" w:firstLineChars="4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2F056"/>
    <w:multiLevelType w:val="singleLevel"/>
    <w:tmpl w:val="7B02F05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C8"/>
    <w:rsid w:val="000112EF"/>
    <w:rsid w:val="00021585"/>
    <w:rsid w:val="00042BB4"/>
    <w:rsid w:val="000719C2"/>
    <w:rsid w:val="00083EFC"/>
    <w:rsid w:val="00085A17"/>
    <w:rsid w:val="000A12F5"/>
    <w:rsid w:val="000B0FF4"/>
    <w:rsid w:val="000D14D3"/>
    <w:rsid w:val="000F0302"/>
    <w:rsid w:val="0019448D"/>
    <w:rsid w:val="001979EC"/>
    <w:rsid w:val="00197DCF"/>
    <w:rsid w:val="001E5F5E"/>
    <w:rsid w:val="00235CFF"/>
    <w:rsid w:val="00241521"/>
    <w:rsid w:val="002D2F4D"/>
    <w:rsid w:val="003129DB"/>
    <w:rsid w:val="003176FC"/>
    <w:rsid w:val="003A294F"/>
    <w:rsid w:val="00412442"/>
    <w:rsid w:val="00474C37"/>
    <w:rsid w:val="004B0FFD"/>
    <w:rsid w:val="004C4DB1"/>
    <w:rsid w:val="004F7F2B"/>
    <w:rsid w:val="00521389"/>
    <w:rsid w:val="005B6AFF"/>
    <w:rsid w:val="0061000B"/>
    <w:rsid w:val="0063519A"/>
    <w:rsid w:val="00644FBD"/>
    <w:rsid w:val="006750A1"/>
    <w:rsid w:val="006A31E3"/>
    <w:rsid w:val="006D4C3B"/>
    <w:rsid w:val="00707FB6"/>
    <w:rsid w:val="00722BBB"/>
    <w:rsid w:val="00782351"/>
    <w:rsid w:val="007B6919"/>
    <w:rsid w:val="007F0131"/>
    <w:rsid w:val="0081765D"/>
    <w:rsid w:val="00833EFC"/>
    <w:rsid w:val="00841D81"/>
    <w:rsid w:val="008819CC"/>
    <w:rsid w:val="008C002E"/>
    <w:rsid w:val="008F6497"/>
    <w:rsid w:val="00900A50"/>
    <w:rsid w:val="009302F4"/>
    <w:rsid w:val="009323AB"/>
    <w:rsid w:val="00966A29"/>
    <w:rsid w:val="00970007"/>
    <w:rsid w:val="0099251B"/>
    <w:rsid w:val="00994559"/>
    <w:rsid w:val="009B6DA7"/>
    <w:rsid w:val="009C3128"/>
    <w:rsid w:val="009F41FE"/>
    <w:rsid w:val="00A57D1D"/>
    <w:rsid w:val="00A94F5A"/>
    <w:rsid w:val="00AB06DE"/>
    <w:rsid w:val="00AD1E30"/>
    <w:rsid w:val="00AE3104"/>
    <w:rsid w:val="00B039C0"/>
    <w:rsid w:val="00B10688"/>
    <w:rsid w:val="00B55F07"/>
    <w:rsid w:val="00BE7CA3"/>
    <w:rsid w:val="00C01757"/>
    <w:rsid w:val="00CE5BC4"/>
    <w:rsid w:val="00D019CA"/>
    <w:rsid w:val="00D11679"/>
    <w:rsid w:val="00D77DAB"/>
    <w:rsid w:val="00D86D13"/>
    <w:rsid w:val="00D9438D"/>
    <w:rsid w:val="00DE08E3"/>
    <w:rsid w:val="00DF31C8"/>
    <w:rsid w:val="00E7762B"/>
    <w:rsid w:val="00EA7001"/>
    <w:rsid w:val="00EC0F73"/>
    <w:rsid w:val="00F276BB"/>
    <w:rsid w:val="00F62822"/>
    <w:rsid w:val="00F93B37"/>
    <w:rsid w:val="00FE3514"/>
    <w:rsid w:val="03947459"/>
    <w:rsid w:val="0AFD1C77"/>
    <w:rsid w:val="0F040D83"/>
    <w:rsid w:val="117748D0"/>
    <w:rsid w:val="1AAB76FF"/>
    <w:rsid w:val="2022680A"/>
    <w:rsid w:val="21C055C2"/>
    <w:rsid w:val="22174EA2"/>
    <w:rsid w:val="22947223"/>
    <w:rsid w:val="31F57385"/>
    <w:rsid w:val="36BE537F"/>
    <w:rsid w:val="370C42E9"/>
    <w:rsid w:val="395A3537"/>
    <w:rsid w:val="399E7352"/>
    <w:rsid w:val="4E2F54B4"/>
    <w:rsid w:val="5AC52419"/>
    <w:rsid w:val="626C24AA"/>
    <w:rsid w:val="752B1E08"/>
    <w:rsid w:val="79647356"/>
    <w:rsid w:val="7A953240"/>
    <w:rsid w:val="7EBE52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923</Words>
  <Characters>932</Characters>
  <Lines>1</Lines>
  <Paragraphs>1</Paragraphs>
  <TotalTime>12</TotalTime>
  <ScaleCrop>false</ScaleCrop>
  <LinksUpToDate>false</LinksUpToDate>
  <CharactersWithSpaces>1112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2014-11-17T06:38:00Z</dcterms:created>
  <dc:creator>猪猪猫.CN</dc:creator>
  <cp:lastModifiedBy>国晟招标-彭工</cp:lastModifiedBy>
  <cp:lastPrinted>2017-08-16T08:07:00Z</cp:lastPrinted>
  <dcterms:modified xsi:type="dcterms:W3CDTF">2022-01-14T07:13:41Z</dcterms:modified>
  <dc:title>招标文件发售登记表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894F3B4E02CD4299BB996D4B75A86C02</vt:lpwstr>
  </property>
</Properties>
</file>