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宋体" w:hAnsi="宋体" w:eastAsia="宋体" w:cs="宋体"/>
          <w:b/>
          <w:bCs/>
          <w:color w:val="auto"/>
          <w:kern w:val="0"/>
          <w:sz w:val="28"/>
          <w:szCs w:val="28"/>
          <w:lang w:val="en-US" w:eastAsia="zh-CN" w:bidi="ar-SA"/>
        </w:rPr>
      </w:pPr>
      <w:bookmarkStart w:id="0" w:name="_GoBack"/>
      <w:bookmarkEnd w:id="0"/>
      <w:r>
        <w:rPr>
          <w:rFonts w:hint="eastAsia" w:ascii="宋体" w:hAnsi="宋体" w:eastAsia="宋体" w:cs="宋体"/>
          <w:b/>
          <w:bCs/>
          <w:color w:val="auto"/>
          <w:sz w:val="28"/>
          <w:szCs w:val="28"/>
          <w:lang w:val="en-US" w:eastAsia="zh-CN"/>
        </w:rPr>
        <w:t>附件1：</w:t>
      </w:r>
      <w:r>
        <w:rPr>
          <w:rFonts w:hint="eastAsia" w:ascii="宋体" w:hAnsi="宋体" w:eastAsia="宋体" w:cs="宋体"/>
          <w:b/>
          <w:bCs/>
          <w:color w:val="auto"/>
          <w:kern w:val="0"/>
          <w:sz w:val="28"/>
          <w:szCs w:val="28"/>
          <w:lang w:val="en-US" w:eastAsia="zh-CN" w:bidi="ar-SA"/>
        </w:rPr>
        <w:t>《环卫专用车辆设备及设施检测考核标准细则》</w:t>
      </w:r>
    </w:p>
    <w:p>
      <w:pPr>
        <w:outlineLvl w:val="9"/>
        <w:rPr>
          <w:rFonts w:hint="eastAsia"/>
        </w:rPr>
      </w:pP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456"/>
        <w:gridCol w:w="839"/>
        <w:gridCol w:w="4572"/>
        <w:gridCol w:w="696"/>
        <w:gridCol w:w="1336"/>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000" w:type="pct"/>
            <w:gridSpan w:val="7"/>
            <w:noWrap w:val="0"/>
            <w:vAlign w:val="center"/>
          </w:tcPr>
          <w:p>
            <w:pPr>
              <w:spacing w:line="360" w:lineRule="auto"/>
              <w:jc w:val="center"/>
              <w:rPr>
                <w:rFonts w:hint="eastAsia" w:ascii="仿宋" w:hAnsi="仿宋" w:eastAsia="仿宋" w:cs="仿宋"/>
                <w:b/>
                <w:bCs/>
                <w:sz w:val="24"/>
                <w:szCs w:val="24"/>
              </w:rPr>
            </w:pPr>
            <w:r>
              <w:rPr>
                <w:rFonts w:hint="eastAsia" w:ascii="宋体" w:hAnsi="宋体" w:eastAsia="宋体" w:cs="宋体"/>
                <w:b/>
                <w:bCs/>
                <w:color w:val="auto"/>
                <w:kern w:val="0"/>
                <w:sz w:val="28"/>
                <w:szCs w:val="28"/>
                <w:lang w:val="en-US" w:eastAsia="zh-CN" w:bidi="ar-SA"/>
              </w:rPr>
              <w:t>一、环卫专用车辆设备检测考核标准细则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52"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715" w:type="pct"/>
            <w:gridSpan w:val="2"/>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考核内容</w:t>
            </w:r>
          </w:p>
        </w:tc>
        <w:tc>
          <w:tcPr>
            <w:tcW w:w="2525"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考核标准</w:t>
            </w:r>
          </w:p>
        </w:tc>
        <w:tc>
          <w:tcPr>
            <w:tcW w:w="384"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考核时间</w:t>
            </w:r>
          </w:p>
        </w:tc>
        <w:tc>
          <w:tcPr>
            <w:tcW w:w="738"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考核方式</w:t>
            </w:r>
          </w:p>
        </w:tc>
        <w:tc>
          <w:tcPr>
            <w:tcW w:w="384"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52" w:type="pct"/>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w:t>
            </w:r>
          </w:p>
        </w:tc>
        <w:tc>
          <w:tcPr>
            <w:tcW w:w="715" w:type="pct"/>
            <w:gridSpan w:val="2"/>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制定计划及实施</w:t>
            </w:r>
          </w:p>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方案</w:t>
            </w:r>
          </w:p>
        </w:tc>
        <w:tc>
          <w:tcPr>
            <w:tcW w:w="2525" w:type="pct"/>
            <w:noWrap w:val="0"/>
            <w:vAlign w:val="center"/>
          </w:tcPr>
          <w:p>
            <w:pPr>
              <w:spacing w:line="360" w:lineRule="auto"/>
              <w:jc w:val="left"/>
              <w:rPr>
                <w:rFonts w:hint="eastAsia" w:ascii="仿宋" w:hAnsi="仿宋" w:eastAsia="仿宋" w:cs="仿宋"/>
                <w:b/>
                <w:bCs/>
                <w:sz w:val="24"/>
                <w:szCs w:val="24"/>
                <w:highlight w:val="none"/>
                <w:lang w:val="en-US"/>
              </w:rPr>
            </w:pPr>
            <w:r>
              <w:rPr>
                <w:rFonts w:hint="eastAsia" w:ascii="仿宋" w:hAnsi="仿宋" w:eastAsia="仿宋" w:cs="仿宋"/>
                <w:bCs/>
                <w:color w:val="000000"/>
                <w:kern w:val="0"/>
                <w:sz w:val="24"/>
                <w:szCs w:val="24"/>
                <w:highlight w:val="none"/>
                <w:lang w:val="en-US" w:eastAsia="zh-CN"/>
              </w:rPr>
              <w:t>是否已在合同签订后10个工作日内制定针对本项目全年、半年及季度的详细工作计划和具体实施方案报采购人审核，每逾期一天扣5分。</w:t>
            </w:r>
          </w:p>
        </w:tc>
        <w:tc>
          <w:tcPr>
            <w:tcW w:w="384" w:type="pct"/>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第一季度</w:t>
            </w:r>
          </w:p>
        </w:tc>
        <w:tc>
          <w:tcPr>
            <w:tcW w:w="738" w:type="pct"/>
            <w:noWrap w:val="0"/>
            <w:vAlign w:val="center"/>
          </w:tcPr>
          <w:p>
            <w:pPr>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通过提交的详细工作计划及实施方案进行检查</w:t>
            </w:r>
          </w:p>
        </w:tc>
        <w:tc>
          <w:tcPr>
            <w:tcW w:w="384"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100分（扣完为止）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52" w:type="pct"/>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w:t>
            </w:r>
          </w:p>
        </w:tc>
        <w:tc>
          <w:tcPr>
            <w:tcW w:w="715" w:type="pct"/>
            <w:gridSpan w:val="2"/>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进度考核</w:t>
            </w:r>
          </w:p>
        </w:tc>
        <w:tc>
          <w:tcPr>
            <w:tcW w:w="2525" w:type="pct"/>
            <w:noWrap w:val="0"/>
            <w:vAlign w:val="center"/>
          </w:tcPr>
          <w:p>
            <w:pPr>
              <w:spacing w:line="360" w:lineRule="auto"/>
              <w:jc w:val="left"/>
              <w:rPr>
                <w:rFonts w:hint="eastAsia" w:ascii="仿宋" w:hAnsi="仿宋" w:eastAsia="仿宋" w:cs="仿宋"/>
                <w:b/>
                <w:bCs/>
                <w:sz w:val="24"/>
                <w:szCs w:val="24"/>
                <w:highlight w:val="none"/>
              </w:rPr>
            </w:pPr>
            <w:r>
              <w:rPr>
                <w:rFonts w:hint="eastAsia" w:ascii="仿宋" w:hAnsi="仿宋" w:eastAsia="仿宋" w:cs="仿宋"/>
                <w:bCs/>
                <w:color w:val="000000"/>
                <w:kern w:val="0"/>
                <w:sz w:val="24"/>
                <w:szCs w:val="24"/>
                <w:highlight w:val="none"/>
                <w:lang w:val="en-US" w:eastAsia="zh-CN"/>
              </w:rPr>
              <w:t>是否已按制定的全年、半年及季度的详细工作计划完成检查工作，每发现一次未按进度完成，扣10分。</w:t>
            </w:r>
          </w:p>
        </w:tc>
        <w:tc>
          <w:tcPr>
            <w:tcW w:w="384" w:type="pct"/>
            <w:noWrap w:val="0"/>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每季度</w:t>
            </w:r>
          </w:p>
        </w:tc>
        <w:tc>
          <w:tcPr>
            <w:tcW w:w="738" w:type="pct"/>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sz w:val="24"/>
                <w:szCs w:val="24"/>
              </w:rPr>
              <w:t>通过广州市智慧环卫信息系统对照</w:t>
            </w:r>
            <w:r>
              <w:rPr>
                <w:rFonts w:hint="eastAsia" w:ascii="仿宋" w:hAnsi="仿宋" w:eastAsia="仿宋" w:cs="仿宋"/>
                <w:sz w:val="24"/>
                <w:szCs w:val="24"/>
                <w:lang w:val="en-US" w:eastAsia="zh-CN"/>
              </w:rPr>
              <w:t>详细工作计划和实施方案检查</w:t>
            </w:r>
          </w:p>
        </w:tc>
        <w:tc>
          <w:tcPr>
            <w:tcW w:w="384" w:type="pct"/>
            <w:vMerge w:val="continue"/>
            <w:noWrap w:val="0"/>
            <w:vAlign w:val="center"/>
          </w:tcPr>
          <w:p>
            <w:pPr>
              <w:spacing w:line="360" w:lineRule="auto"/>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51" w:type="pct"/>
            <w:vMerge w:val="restar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定期检查</w:t>
            </w:r>
            <w:r>
              <w:rPr>
                <w:rFonts w:hint="eastAsia" w:ascii="仿宋" w:hAnsi="仿宋" w:eastAsia="仿宋" w:cs="仿宋"/>
                <w:sz w:val="24"/>
                <w:szCs w:val="24"/>
                <w:lang w:eastAsia="zh-CN"/>
              </w:rPr>
              <w:t>考核</w:t>
            </w:r>
          </w:p>
        </w:tc>
        <w:tc>
          <w:tcPr>
            <w:tcW w:w="463"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各类道路清扫车辆、道路及市容洒水作业车辆以及各类罐式及容器收运车辆的检查</w:t>
            </w:r>
          </w:p>
        </w:tc>
        <w:tc>
          <w:tcPr>
            <w:tcW w:w="2525"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是否已按检查内容和标准进行检查，每发现一次扣2分。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通过广州市智慧环卫信息系统对照投标文件及相关文件抽查、现场抽查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vMerge w:val="continue"/>
            <w:noWrap w:val="0"/>
            <w:vAlign w:val="center"/>
          </w:tcPr>
          <w:p>
            <w:pPr>
              <w:spacing w:line="360" w:lineRule="auto"/>
              <w:jc w:val="center"/>
              <w:rPr>
                <w:rFonts w:hint="eastAsia" w:ascii="仿宋" w:hAnsi="仿宋" w:eastAsia="仿宋" w:cs="仿宋"/>
                <w:sz w:val="24"/>
                <w:szCs w:val="24"/>
              </w:rPr>
            </w:pPr>
          </w:p>
        </w:tc>
        <w:tc>
          <w:tcPr>
            <w:tcW w:w="2525"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bCs/>
                <w:caps/>
                <w:color w:val="000000"/>
                <w:sz w:val="24"/>
                <w:szCs w:val="24"/>
              </w:rPr>
              <w:t>是否每年进行全覆盖，每发现少一台次，扣2分。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第四季度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检查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各类生活垃圾收运车辆的检查</w:t>
            </w:r>
          </w:p>
        </w:tc>
        <w:tc>
          <w:tcPr>
            <w:tcW w:w="2525"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是否已按检查内容和标准进行检查，每发现一次扣2分。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对照投标文件及相关文件抽查、现场抽查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vMerge w:val="continue"/>
            <w:noWrap w:val="0"/>
            <w:vAlign w:val="center"/>
          </w:tcPr>
          <w:p>
            <w:pPr>
              <w:spacing w:line="360" w:lineRule="auto"/>
              <w:jc w:val="center"/>
              <w:rPr>
                <w:rFonts w:hint="eastAsia" w:ascii="仿宋" w:hAnsi="仿宋" w:eastAsia="仿宋" w:cs="仿宋"/>
                <w:sz w:val="24"/>
                <w:szCs w:val="24"/>
              </w:rPr>
            </w:pPr>
          </w:p>
        </w:tc>
        <w:tc>
          <w:tcPr>
            <w:tcW w:w="2525" w:type="pct"/>
            <w:noWrap w:val="0"/>
            <w:vAlign w:val="center"/>
          </w:tcPr>
          <w:p>
            <w:pPr>
              <w:spacing w:line="360" w:lineRule="auto"/>
              <w:rPr>
                <w:rFonts w:hint="eastAsia" w:ascii="仿宋" w:hAnsi="仿宋" w:eastAsia="仿宋" w:cs="仿宋"/>
                <w:sz w:val="24"/>
                <w:szCs w:val="24"/>
              </w:rPr>
            </w:pPr>
            <w:r>
              <w:rPr>
                <w:rFonts w:hint="eastAsia" w:ascii="仿宋" w:hAnsi="仿宋" w:eastAsia="仿宋" w:cs="仿宋"/>
                <w:bCs/>
                <w:caps/>
                <w:color w:val="000000"/>
                <w:sz w:val="24"/>
                <w:szCs w:val="24"/>
              </w:rPr>
              <w:t>是否每季度进行全覆盖，每发现少一台次，扣2分。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检查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环卫停车场及配套维修保养车间的检查</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bCs/>
                <w:caps/>
                <w:color w:val="000000"/>
                <w:sz w:val="24"/>
                <w:szCs w:val="24"/>
              </w:rPr>
              <w:t>是否已按照《广州市环卫安全生产管理规范（试行）》、《广州市环卫安全生产检查标准（试行）》、《广州市环卫作业单位安全生产主体责任清单(试行）》相关规定进行检查，每发现一次扣2分。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vMerge w:val="continue"/>
            <w:noWrap w:val="0"/>
            <w:vAlign w:val="center"/>
          </w:tcPr>
          <w:p>
            <w:pPr>
              <w:spacing w:line="360" w:lineRule="auto"/>
              <w:jc w:val="center"/>
              <w:rPr>
                <w:rFonts w:hint="eastAsia" w:ascii="仿宋" w:hAnsi="仿宋" w:eastAsia="仿宋" w:cs="仿宋"/>
                <w:bCs/>
                <w:caps/>
                <w:color w:val="000000"/>
                <w:sz w:val="24"/>
                <w:szCs w:val="24"/>
              </w:rPr>
            </w:pPr>
          </w:p>
        </w:tc>
        <w:tc>
          <w:tcPr>
            <w:tcW w:w="2525" w:type="pct"/>
            <w:noWrap w:val="0"/>
            <w:vAlign w:val="center"/>
          </w:tcPr>
          <w:p>
            <w:pPr>
              <w:spacing w:line="360" w:lineRule="auto"/>
              <w:jc w:val="left"/>
              <w:rPr>
                <w:rFonts w:hint="eastAsia" w:ascii="仿宋" w:hAnsi="仿宋" w:eastAsia="仿宋" w:cs="仿宋"/>
                <w:bCs/>
                <w:caps/>
                <w:color w:val="000000"/>
                <w:sz w:val="24"/>
                <w:szCs w:val="24"/>
              </w:rPr>
            </w:pPr>
            <w:r>
              <w:rPr>
                <w:rFonts w:hint="eastAsia" w:ascii="仿宋" w:hAnsi="仿宋" w:eastAsia="仿宋" w:cs="仿宋"/>
                <w:bCs/>
                <w:caps/>
                <w:color w:val="000000"/>
                <w:sz w:val="24"/>
                <w:szCs w:val="24"/>
              </w:rPr>
              <w:t>是否每半年进行全覆盖，每发现少1个，扣2分。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第二、四季度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检查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vMerge w:val="continue"/>
            <w:noWrap w:val="0"/>
            <w:vAlign w:val="center"/>
          </w:tcPr>
          <w:p>
            <w:pPr>
              <w:spacing w:line="360" w:lineRule="auto"/>
              <w:jc w:val="center"/>
              <w:rPr>
                <w:rFonts w:hint="eastAsia" w:ascii="仿宋" w:hAnsi="仿宋" w:eastAsia="仿宋" w:cs="仿宋"/>
                <w:sz w:val="24"/>
                <w:szCs w:val="24"/>
              </w:rPr>
            </w:pP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bCs/>
                <w:caps/>
                <w:color w:val="000000"/>
                <w:sz w:val="24"/>
                <w:szCs w:val="24"/>
              </w:rPr>
              <w:t>停车场环卫专用作业车辆和设备是否已均在“</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系统”登记并更新数据，每发现一例未登记或更新扣2分。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检查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51" w:type="pct"/>
            <w:vMerge w:val="restar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动态抽查</w:t>
            </w:r>
            <w:r>
              <w:rPr>
                <w:rFonts w:hint="eastAsia" w:ascii="仿宋" w:hAnsi="仿宋" w:eastAsia="仿宋" w:cs="仿宋"/>
                <w:sz w:val="24"/>
                <w:szCs w:val="24"/>
                <w:lang w:eastAsia="zh-CN"/>
              </w:rPr>
              <w:t>考核</w:t>
            </w: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设点设卡检查</w:t>
            </w:r>
          </w:p>
        </w:tc>
        <w:tc>
          <w:tcPr>
            <w:tcW w:w="2525" w:type="pct"/>
            <w:noWrap w:val="0"/>
            <w:vAlign w:val="center"/>
          </w:tcPr>
          <w:p>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是否已按《广州市城市管理专用作业车辆和设备管理办法》、广州市环卫作业车辆和设备和作业过程抽查要求、《广州市环卫安全生产管理规范（试行）》、《广州市环卫安全生产检查标准（试行）》及《广州市环卫作业单位安全生产主体责任清单(试行）》要求进行检查，每发现一例扣2分。</w:t>
            </w:r>
          </w:p>
          <w:p>
            <w:pPr>
              <w:numPr>
                <w:ilvl w:val="0"/>
                <w:numId w:val="1"/>
              </w:numPr>
              <w:spacing w:line="360" w:lineRule="auto"/>
              <w:rPr>
                <w:rFonts w:hint="eastAsia" w:ascii="仿宋" w:hAnsi="仿宋" w:eastAsia="仿宋" w:cs="仿宋"/>
                <w:sz w:val="24"/>
                <w:szCs w:val="24"/>
              </w:rPr>
            </w:pPr>
            <w:r>
              <w:rPr>
                <w:rFonts w:hint="eastAsia" w:ascii="仿宋" w:hAnsi="仿宋" w:eastAsia="仿宋" w:cs="仿宋"/>
                <w:sz w:val="24"/>
                <w:szCs w:val="24"/>
              </w:rPr>
              <w:t>是否每天设置不少于6个检查点，每个检查点每天抽查不少于50台次，每发现少一天/个/台次，扣2分。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每天随机抽查</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是否每天抽查</w:t>
            </w:r>
            <w:r>
              <w:rPr>
                <w:rFonts w:hint="eastAsia" w:ascii="仿宋" w:hAnsi="仿宋" w:eastAsia="仿宋" w:cs="仿宋"/>
                <w:bCs/>
                <w:caps/>
                <w:color w:val="000000"/>
                <w:sz w:val="24"/>
                <w:szCs w:val="24"/>
              </w:rPr>
              <w:t>不少于12个压缩站20台次和不少于6个环卫停车场内20台次的环卫车辆，每发现一例，扣2分。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2</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路面巡查</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是否已按招标文件内容进行巡查，每发现一例，扣2分。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Cs/>
                <w:caps/>
                <w:color w:val="000000"/>
                <w:sz w:val="24"/>
                <w:szCs w:val="24"/>
              </w:rPr>
              <w:t>资料审查</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是否已经按招标文件要求完成相关日常管理、培训、台账等相关资料。每发现一项缺漏扣1分。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4</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bCs/>
                <w:caps/>
                <w:color w:val="000000"/>
                <w:sz w:val="24"/>
                <w:szCs w:val="24"/>
              </w:rPr>
            </w:pPr>
            <w:r>
              <w:rPr>
                <w:rFonts w:hint="eastAsia" w:ascii="仿宋" w:hAnsi="仿宋" w:eastAsia="仿宋" w:cs="仿宋"/>
                <w:bCs/>
                <w:caps/>
                <w:color w:val="000000"/>
                <w:sz w:val="24"/>
                <w:szCs w:val="24"/>
              </w:rPr>
              <w:t>疫情防控措施抽查</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bCs/>
                <w:color w:val="000000"/>
                <w:sz w:val="24"/>
                <w:szCs w:val="24"/>
              </w:rPr>
              <w:t>是否已按《广州市环境卫生作业和管理新冠肺炎疫情常态化防控工作指引》检查车辆和设备、相关工作人员疫情防控措施落实情况</w:t>
            </w:r>
            <w:r>
              <w:rPr>
                <w:rFonts w:hint="eastAsia" w:ascii="仿宋" w:hAnsi="仿宋" w:eastAsia="仿宋" w:cs="仿宋"/>
                <w:bCs/>
                <w:color w:val="000000"/>
                <w:sz w:val="24"/>
                <w:szCs w:val="24"/>
                <w:highlight w:val="none"/>
              </w:rPr>
              <w:t>。如被检车辆的驾驶人员及工作人员作业时是否佩戴口罩，是否按要求定期进行核酸检测，是否已按要求接种新冠疫苗，健康码是否为“绿码”，每发现1例扣2</w:t>
            </w:r>
            <w:r>
              <w:rPr>
                <w:rFonts w:hint="eastAsia" w:ascii="仿宋" w:hAnsi="仿宋" w:eastAsia="仿宋" w:cs="仿宋"/>
                <w:bCs/>
                <w:color w:val="000000"/>
                <w:sz w:val="24"/>
                <w:szCs w:val="24"/>
              </w:rPr>
              <w:t>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合同履行全过程</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251"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质量考核</w:t>
            </w: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服务态度</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lang w:eastAsia="zh-CN"/>
              </w:rPr>
              <w:t>季度车辆检测</w:t>
            </w:r>
            <w:r>
              <w:rPr>
                <w:rFonts w:hint="eastAsia" w:ascii="仿宋" w:hAnsi="仿宋" w:eastAsia="仿宋" w:cs="仿宋"/>
                <w:sz w:val="24"/>
                <w:szCs w:val="24"/>
              </w:rPr>
              <w:t>满意度为90%（含）以下的，扣1分；满意度为80%（含）以下的，扣2分。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随机调查当季服务对象（受检单位）总数的5%的满意度</w:t>
            </w:r>
            <w:r>
              <w:rPr>
                <w:rFonts w:hint="eastAsia" w:ascii="仿宋" w:hAnsi="仿宋" w:eastAsia="仿宋" w:cs="仿宋"/>
                <w:sz w:val="24"/>
                <w:szCs w:val="24"/>
                <w:lang w:val="en-US" w:eastAsia="zh-CN"/>
              </w:rPr>
              <w:t>调查记录</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6</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检查人员情况</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（1）是否已按投标文件承诺配齐检查人员，发现未经采购人同意更换检查人员，每人次扣2分；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（2）两个季度内发现有投标承诺的检查人员未投入到本项目中，每人次扣2分；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（3）发现检查人员工作时未统一着装或未佩戴工作证，每例扣1分。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7</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投入的设备车辆落实情况</w:t>
            </w:r>
          </w:p>
        </w:tc>
        <w:tc>
          <w:tcPr>
            <w:tcW w:w="2525" w:type="pct"/>
            <w:noWrap w:val="0"/>
            <w:vAlign w:val="center"/>
          </w:tcPr>
          <w:p>
            <w:pPr>
              <w:numPr>
                <w:ilvl w:val="0"/>
                <w:numId w:val="2"/>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未经采购人同意更换投标时承诺投入的车辆，每台次扣5分；</w:t>
            </w:r>
          </w:p>
          <w:p>
            <w:pPr>
              <w:numPr>
                <w:ilvl w:val="0"/>
                <w:numId w:val="2"/>
              </w:numPr>
              <w:spacing w:line="360" w:lineRule="auto"/>
              <w:jc w:val="left"/>
              <w:rPr>
                <w:rFonts w:hint="eastAsia" w:ascii="仿宋" w:hAnsi="仿宋" w:eastAsia="仿宋" w:cs="仿宋"/>
                <w:sz w:val="24"/>
                <w:szCs w:val="24"/>
              </w:rPr>
            </w:pPr>
            <w:r>
              <w:rPr>
                <w:rFonts w:hint="eastAsia" w:ascii="仿宋" w:hAnsi="仿宋" w:eastAsia="仿宋" w:cs="仿宋"/>
                <w:sz w:val="24"/>
                <w:szCs w:val="24"/>
              </w:rPr>
              <w:t>所有投标时承诺过投入的车辆是否均已接入“</w:t>
            </w:r>
            <w:r>
              <w:rPr>
                <w:rFonts w:hint="eastAsia" w:ascii="仿宋" w:hAnsi="仿宋" w:eastAsia="仿宋" w:cs="仿宋"/>
                <w:bCs/>
                <w:caps/>
                <w:color w:val="000000"/>
                <w:sz w:val="24"/>
                <w:szCs w:val="24"/>
              </w:rPr>
              <w:t>广州市智慧环卫信息系统</w:t>
            </w:r>
            <w:r>
              <w:rPr>
                <w:rFonts w:hint="eastAsia" w:ascii="仿宋" w:hAnsi="仿宋" w:eastAsia="仿宋" w:cs="仿宋"/>
                <w:sz w:val="24"/>
                <w:szCs w:val="24"/>
              </w:rPr>
              <w:t>”，每发现少1例，扣5分。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每季度</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通过</w:t>
            </w:r>
            <w:r>
              <w:rPr>
                <w:rFonts w:hint="eastAsia" w:ascii="仿宋" w:hAnsi="仿宋" w:eastAsia="仿宋" w:cs="仿宋"/>
                <w:bCs/>
                <w:caps/>
                <w:color w:val="000000"/>
                <w:sz w:val="24"/>
                <w:szCs w:val="24"/>
                <w:lang w:eastAsia="zh-CN"/>
              </w:rPr>
              <w:t>广州市智慧环卫信息</w:t>
            </w:r>
            <w:r>
              <w:rPr>
                <w:rFonts w:hint="eastAsia" w:ascii="仿宋" w:hAnsi="仿宋" w:eastAsia="仿宋" w:cs="仿宋"/>
                <w:bCs/>
                <w:caps/>
                <w:color w:val="000000"/>
                <w:sz w:val="24"/>
                <w:szCs w:val="24"/>
              </w:rPr>
              <w:t>系统</w:t>
            </w:r>
            <w:r>
              <w:rPr>
                <w:rFonts w:hint="eastAsia" w:ascii="仿宋" w:hAnsi="仿宋" w:eastAsia="仿宋" w:cs="仿宋"/>
                <w:sz w:val="24"/>
                <w:szCs w:val="24"/>
              </w:rPr>
              <w:t>抽查、现场抽查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环卫部门抽查情况</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kern w:val="0"/>
                <w:sz w:val="24"/>
                <w:szCs w:val="24"/>
              </w:rPr>
              <w:t>（1）各级城市管理部门或受委托的检查单位不定期抽检中标人近3天内所检查的车辆，如抽检时发现车辆状况与中标人评估报告不符，中标人虚报评估结果的，每车（例）扣2分；（2）各级城市管理部门或受委托的检查检查发现中标人实施检查中安全工作存在安全隐患，每次扣2分；安全风险严重的，每次扣5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合同履行全过程</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抽查检查报告</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举报投诉处理</w:t>
            </w:r>
          </w:p>
        </w:tc>
        <w:tc>
          <w:tcPr>
            <w:tcW w:w="2525" w:type="pct"/>
            <w:noWrap w:val="0"/>
            <w:vAlign w:val="center"/>
          </w:tcPr>
          <w:p>
            <w:pPr>
              <w:spacing w:line="360" w:lineRule="auto"/>
              <w:jc w:val="left"/>
              <w:rPr>
                <w:rFonts w:hint="eastAsia" w:ascii="仿宋" w:hAnsi="仿宋" w:eastAsia="仿宋" w:cs="仿宋"/>
                <w:kern w:val="0"/>
                <w:sz w:val="24"/>
                <w:szCs w:val="24"/>
              </w:rPr>
            </w:pPr>
            <w:r>
              <w:rPr>
                <w:rFonts w:hint="eastAsia" w:ascii="仿宋" w:hAnsi="仿宋" w:eastAsia="仿宋" w:cs="仿宋"/>
                <w:kern w:val="0"/>
                <w:sz w:val="24"/>
                <w:szCs w:val="24"/>
              </w:rPr>
              <w:t>中标人在履行合同过程中，因主观因素</w:t>
            </w:r>
            <w:r>
              <w:rPr>
                <w:rFonts w:hint="eastAsia" w:ascii="仿宋" w:hAnsi="仿宋" w:eastAsia="仿宋" w:cs="仿宋"/>
                <w:kern w:val="0"/>
                <w:sz w:val="24"/>
                <w:szCs w:val="24"/>
                <w:lang w:eastAsia="zh-CN"/>
              </w:rPr>
              <w:t>或</w:t>
            </w:r>
            <w:r>
              <w:rPr>
                <w:rFonts w:hint="eastAsia" w:ascii="仿宋" w:hAnsi="仿宋" w:eastAsia="仿宋" w:cs="仿宋"/>
                <w:kern w:val="0"/>
                <w:sz w:val="24"/>
                <w:szCs w:val="24"/>
              </w:rPr>
              <w:t>工作方法</w:t>
            </w:r>
            <w:r>
              <w:rPr>
                <w:rFonts w:hint="eastAsia" w:ascii="仿宋" w:hAnsi="仿宋" w:eastAsia="仿宋" w:cs="仿宋"/>
                <w:kern w:val="0"/>
                <w:sz w:val="24"/>
                <w:szCs w:val="24"/>
                <w:lang w:eastAsia="zh-CN"/>
              </w:rPr>
              <w:t>不当，导致检测</w:t>
            </w:r>
            <w:r>
              <w:rPr>
                <w:rFonts w:hint="eastAsia" w:ascii="仿宋" w:hAnsi="仿宋" w:eastAsia="仿宋" w:cs="仿宋"/>
                <w:kern w:val="0"/>
                <w:sz w:val="24"/>
                <w:szCs w:val="24"/>
              </w:rPr>
              <w:t>结果</w:t>
            </w:r>
            <w:r>
              <w:rPr>
                <w:rFonts w:hint="eastAsia" w:ascii="仿宋" w:hAnsi="仿宋" w:eastAsia="仿宋" w:cs="仿宋"/>
                <w:kern w:val="0"/>
                <w:sz w:val="24"/>
                <w:szCs w:val="24"/>
                <w:lang w:eastAsia="zh-CN"/>
              </w:rPr>
              <w:t>失实或有误</w:t>
            </w:r>
            <w:r>
              <w:rPr>
                <w:rFonts w:hint="eastAsia" w:ascii="仿宋" w:hAnsi="仿宋" w:eastAsia="仿宋" w:cs="仿宋"/>
                <w:kern w:val="0"/>
                <w:sz w:val="24"/>
                <w:szCs w:val="24"/>
              </w:rPr>
              <w:t>，被投诉或举报的，</w:t>
            </w:r>
            <w:r>
              <w:rPr>
                <w:rFonts w:hint="eastAsia" w:ascii="仿宋" w:hAnsi="仿宋" w:eastAsia="仿宋" w:cs="仿宋"/>
                <w:kern w:val="0"/>
                <w:sz w:val="24"/>
                <w:szCs w:val="24"/>
                <w:lang w:eastAsia="zh-CN"/>
              </w:rPr>
              <w:t>情节较轻的</w:t>
            </w:r>
            <w:r>
              <w:rPr>
                <w:rFonts w:hint="eastAsia" w:ascii="仿宋" w:hAnsi="仿宋" w:eastAsia="仿宋" w:cs="仿宋"/>
                <w:kern w:val="0"/>
                <w:sz w:val="24"/>
                <w:szCs w:val="24"/>
              </w:rPr>
              <w:t>，每一起扣2分，情节严重的</w:t>
            </w:r>
            <w:r>
              <w:rPr>
                <w:rFonts w:hint="eastAsia" w:ascii="仿宋" w:hAnsi="仿宋" w:eastAsia="仿宋" w:cs="仿宋"/>
                <w:kern w:val="0"/>
                <w:sz w:val="24"/>
                <w:szCs w:val="24"/>
                <w:lang w:eastAsia="zh-CN"/>
              </w:rPr>
              <w:t>，每一起</w:t>
            </w:r>
            <w:r>
              <w:rPr>
                <w:rFonts w:hint="eastAsia" w:ascii="仿宋" w:hAnsi="仿宋" w:eastAsia="仿宋" w:cs="仿宋"/>
                <w:kern w:val="0"/>
                <w:sz w:val="24"/>
                <w:szCs w:val="24"/>
              </w:rPr>
              <w:t>扣5分，造成严重不良影响的，视情可终止合同。</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合同履行全过程</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随机监督，受检单位</w:t>
            </w:r>
            <w:r>
              <w:rPr>
                <w:rFonts w:hint="eastAsia" w:ascii="仿宋" w:hAnsi="仿宋" w:eastAsia="仿宋" w:cs="仿宋"/>
                <w:sz w:val="24"/>
                <w:szCs w:val="24"/>
                <w:lang w:val="en-US" w:eastAsia="zh-CN"/>
              </w:rPr>
              <w:t>或公众</w:t>
            </w:r>
            <w:r>
              <w:rPr>
                <w:rFonts w:hint="eastAsia" w:ascii="仿宋" w:hAnsi="仿宋" w:eastAsia="仿宋" w:cs="仿宋"/>
                <w:sz w:val="24"/>
                <w:szCs w:val="24"/>
              </w:rPr>
              <w:t>反馈</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251" w:type="pct"/>
            <w:vMerge w:val="restar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其他考核</w:t>
            </w:r>
          </w:p>
        </w:tc>
        <w:tc>
          <w:tcPr>
            <w:tcW w:w="463" w:type="pct"/>
            <w:noWrap w:val="0"/>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安全组织</w:t>
            </w:r>
          </w:p>
        </w:tc>
        <w:tc>
          <w:tcPr>
            <w:tcW w:w="2525" w:type="pct"/>
            <w:noWrap w:val="0"/>
            <w:vAlign w:val="center"/>
          </w:tcPr>
          <w:p>
            <w:pPr>
              <w:spacing w:line="360" w:lineRule="auto"/>
              <w:jc w:val="lef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eastAsia="zh-CN"/>
              </w:rPr>
              <w:t>中标人在履行合同过程中发生责任事故，情节较轻的，每一起扣</w:t>
            </w:r>
            <w:r>
              <w:rPr>
                <w:rFonts w:hint="eastAsia" w:ascii="仿宋" w:hAnsi="仿宋" w:eastAsia="仿宋" w:cs="仿宋"/>
                <w:kern w:val="0"/>
                <w:sz w:val="24"/>
                <w:szCs w:val="24"/>
                <w:lang w:val="en-US" w:eastAsia="zh-CN"/>
              </w:rPr>
              <w:t>10分，情节严重的，每一起扣20分，</w:t>
            </w:r>
            <w:r>
              <w:rPr>
                <w:rFonts w:hint="eastAsia" w:ascii="仿宋" w:hAnsi="仿宋" w:eastAsia="仿宋" w:cs="仿宋"/>
                <w:kern w:val="0"/>
                <w:sz w:val="24"/>
                <w:szCs w:val="24"/>
                <w:lang w:eastAsia="zh-CN"/>
              </w:rPr>
              <w:t>重大责任事故，每一起扣</w:t>
            </w:r>
            <w:r>
              <w:rPr>
                <w:rFonts w:hint="eastAsia" w:ascii="仿宋" w:hAnsi="仿宋" w:eastAsia="仿宋" w:cs="仿宋"/>
                <w:kern w:val="0"/>
                <w:sz w:val="24"/>
                <w:szCs w:val="24"/>
                <w:lang w:val="en-US" w:eastAsia="zh-CN"/>
              </w:rPr>
              <w:t>30分。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合同履行全过程</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随机监督</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舆情曝光情况</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kern w:val="0"/>
                <w:sz w:val="24"/>
                <w:szCs w:val="24"/>
              </w:rPr>
              <w:t>作业车辆存在</w:t>
            </w:r>
            <w:r>
              <w:rPr>
                <w:rFonts w:hint="eastAsia" w:ascii="仿宋" w:hAnsi="仿宋" w:eastAsia="仿宋" w:cs="仿宋"/>
                <w:kern w:val="0"/>
                <w:sz w:val="24"/>
                <w:szCs w:val="24"/>
                <w:lang w:eastAsia="zh-CN"/>
              </w:rPr>
              <w:t>舆情反应、</w:t>
            </w:r>
            <w:r>
              <w:rPr>
                <w:rFonts w:hint="eastAsia" w:ascii="仿宋" w:hAnsi="仿宋" w:eastAsia="仿宋" w:cs="仿宋"/>
                <w:kern w:val="0"/>
                <w:sz w:val="24"/>
                <w:szCs w:val="24"/>
              </w:rPr>
              <w:t>媒体曝光</w:t>
            </w:r>
            <w:r>
              <w:rPr>
                <w:rFonts w:hint="eastAsia" w:ascii="仿宋" w:hAnsi="仿宋" w:eastAsia="仿宋" w:cs="仿宋"/>
                <w:kern w:val="0"/>
                <w:sz w:val="24"/>
                <w:szCs w:val="24"/>
                <w:lang w:eastAsia="zh-CN"/>
              </w:rPr>
              <w:t>或</w:t>
            </w:r>
            <w:r>
              <w:rPr>
                <w:rFonts w:hint="eastAsia" w:ascii="仿宋" w:hAnsi="仿宋" w:eastAsia="仿宋" w:cs="仿宋"/>
                <w:kern w:val="0"/>
                <w:sz w:val="24"/>
                <w:szCs w:val="24"/>
              </w:rPr>
              <w:t>上级通报等情况，车辆被发现问题的实际日期，与车辆接受中标人检查日期之间少于或等于3天的，且可证实是中标人存在疏忽等原因导致的，每车（例）扣</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合同履行全过程</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查资料，现场抽查</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 w:type="pct"/>
            <w:noWrap w:val="0"/>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251" w:type="pct"/>
            <w:vMerge w:val="continue"/>
            <w:noWrap w:val="0"/>
            <w:vAlign w:val="center"/>
          </w:tcPr>
          <w:p>
            <w:pPr>
              <w:spacing w:line="360" w:lineRule="auto"/>
              <w:jc w:val="center"/>
              <w:rPr>
                <w:rFonts w:hint="eastAsia" w:ascii="仿宋" w:hAnsi="仿宋" w:eastAsia="仿宋" w:cs="仿宋"/>
                <w:sz w:val="24"/>
                <w:szCs w:val="24"/>
              </w:rPr>
            </w:pPr>
          </w:p>
        </w:tc>
        <w:tc>
          <w:tcPr>
            <w:tcW w:w="463"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廉政纪律</w:t>
            </w:r>
          </w:p>
        </w:tc>
        <w:tc>
          <w:tcPr>
            <w:tcW w:w="2525" w:type="pct"/>
            <w:noWrap w:val="0"/>
            <w:vAlign w:val="center"/>
          </w:tcPr>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（1）检查人员私下联系受检单位或相关人员的，每次扣10分；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（2）检查人员收受受检单位礼金、有价证券、礼品等的，每次扣15分，由</w:t>
            </w:r>
            <w:r>
              <w:rPr>
                <w:rFonts w:hint="eastAsia" w:ascii="仿宋" w:hAnsi="仿宋" w:eastAsia="仿宋" w:cs="仿宋"/>
                <w:kern w:val="0"/>
                <w:sz w:val="24"/>
                <w:szCs w:val="24"/>
              </w:rPr>
              <w:t>中标人</w:t>
            </w:r>
            <w:r>
              <w:rPr>
                <w:rFonts w:hint="eastAsia" w:ascii="仿宋" w:hAnsi="仿宋" w:eastAsia="仿宋" w:cs="仿宋"/>
                <w:sz w:val="24"/>
                <w:szCs w:val="24"/>
              </w:rPr>
              <w:t>取消相关人员检查资格并进行处理，未进行处理的每次扣15分；</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（3）徇私舞弊、弄虚作假、篡改检查结果的每次扣30分。</w:t>
            </w:r>
          </w:p>
        </w:tc>
        <w:tc>
          <w:tcPr>
            <w:tcW w:w="384"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合同履行全过程</w:t>
            </w:r>
          </w:p>
        </w:tc>
        <w:tc>
          <w:tcPr>
            <w:tcW w:w="73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随机监督、现场抽查，受检单位反馈</w:t>
            </w:r>
          </w:p>
        </w:tc>
        <w:tc>
          <w:tcPr>
            <w:tcW w:w="384" w:type="pct"/>
            <w:vMerge w:val="continue"/>
            <w:noWrap w:val="0"/>
            <w:vAlign w:val="center"/>
          </w:tcPr>
          <w:p>
            <w:pPr>
              <w:spacing w:line="360" w:lineRule="auto"/>
              <w:jc w:val="center"/>
              <w:rPr>
                <w:rFonts w:hint="eastAsia" w:ascii="仿宋" w:hAnsi="仿宋" w:eastAsia="仿宋" w:cs="仿宋"/>
                <w:sz w:val="24"/>
                <w:szCs w:val="24"/>
              </w:rPr>
            </w:pPr>
          </w:p>
        </w:tc>
      </w:tr>
    </w:tbl>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75"/>
        <w:gridCol w:w="3495"/>
        <w:gridCol w:w="195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1" w:type="dxa"/>
            <w:gridSpan w:val="5"/>
            <w:vAlign w:val="top"/>
          </w:tcPr>
          <w:p>
            <w:pPr>
              <w:spacing w:line="360" w:lineRule="auto"/>
              <w:jc w:val="center"/>
              <w:rPr>
                <w:rFonts w:hint="default" w:ascii="仿宋" w:hAnsi="仿宋" w:eastAsia="仿宋" w:cs="仿宋"/>
                <w:b/>
                <w:bCs/>
                <w:color w:val="auto"/>
                <w:sz w:val="24"/>
                <w:szCs w:val="24"/>
                <w:lang w:val="en-US" w:eastAsia="zh-CN"/>
              </w:rPr>
            </w:pPr>
            <w:r>
              <w:rPr>
                <w:rFonts w:hint="eastAsia" w:ascii="宋体" w:hAnsi="宋体" w:eastAsia="宋体" w:cs="宋体"/>
                <w:b/>
                <w:bCs/>
                <w:color w:val="auto"/>
                <w:kern w:val="0"/>
                <w:sz w:val="28"/>
                <w:szCs w:val="28"/>
                <w:lang w:val="en-US" w:eastAsia="zh-CN" w:bidi="ar-SA"/>
              </w:rPr>
              <w:t>二、垃圾压缩站考核标准细则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pPr>
              <w:spacing w:line="360" w:lineRule="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序号</w:t>
            </w:r>
          </w:p>
        </w:tc>
        <w:tc>
          <w:tcPr>
            <w:tcW w:w="1275" w:type="dxa"/>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评价内容</w:t>
            </w:r>
          </w:p>
        </w:tc>
        <w:tc>
          <w:tcPr>
            <w:tcW w:w="3495" w:type="dxa"/>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评价标准</w:t>
            </w:r>
          </w:p>
        </w:tc>
        <w:tc>
          <w:tcPr>
            <w:tcW w:w="1950" w:type="dxa"/>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评价方式</w:t>
            </w:r>
          </w:p>
        </w:tc>
        <w:tc>
          <w:tcPr>
            <w:tcW w:w="1561" w:type="dxa"/>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275"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按采购文件设置人员和车辆</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中标人应按投标文件配齐人员和车辆，并将相关信息录入智慧环卫系统。每天至少安排6台车、12个人出去检查。采购人不定期组织抽查，发现少一人，每宗扣2分。少一台车辆，每宗扣3分</w:t>
            </w:r>
          </w:p>
        </w:tc>
        <w:tc>
          <w:tcPr>
            <w:tcW w:w="1950"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查看中标人提交的人员社保和车辆行驶证等资料信息或查看智慧环卫系统上的信息</w:t>
            </w:r>
          </w:p>
        </w:tc>
        <w:tc>
          <w:tcPr>
            <w:tcW w:w="1561" w:type="dxa"/>
            <w:vMerge w:val="restart"/>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100分</w:t>
            </w:r>
          </w:p>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(扣完为止)</w:t>
            </w:r>
          </w:p>
          <w:p>
            <w:pPr>
              <w:spacing w:line="360" w:lineRule="auto"/>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275"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服务质量</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因垃圾压缩站臭气噪音扰民、场地环境卫生脏乱差等长期存在的问题，中标人未能及时发现，造成不良影响，经市区相关业务部门发现较严重的问题，每宗扣0.5分；被市民经12345政府热线投诉的，每宗扣2分；被舆情煤体曝光、领导批示整改的，每宗扣5分。</w:t>
            </w:r>
          </w:p>
        </w:tc>
        <w:tc>
          <w:tcPr>
            <w:tcW w:w="1950"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市政府文件、12345政府热线工单、市区相关业务部门检查反馈情况</w:t>
            </w: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275"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问题整改落实</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中标人在检查中发现问题并通过智慧环卫系统于当天发送给管理单位进行整改，并协助采购人进行督办，未跟进运营单位反馈整改情况的，每宗扣1分。</w:t>
            </w:r>
          </w:p>
        </w:tc>
        <w:tc>
          <w:tcPr>
            <w:tcW w:w="1950" w:type="dxa"/>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检查的问题图片和整改后的对比图片</w:t>
            </w:r>
          </w:p>
          <w:p>
            <w:pPr>
              <w:spacing w:line="360" w:lineRule="auto"/>
              <w:jc w:val="center"/>
              <w:rPr>
                <w:rFonts w:hint="eastAsia" w:ascii="仿宋" w:hAnsi="仿宋" w:eastAsia="仿宋" w:cs="仿宋"/>
                <w:color w:val="auto"/>
                <w:sz w:val="24"/>
                <w:szCs w:val="24"/>
                <w:vertAlign w:val="baseline"/>
                <w:lang w:val="en-US" w:eastAsia="zh-CN"/>
              </w:rPr>
            </w:pP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275"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检查是否全覆盖</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中标人未按要求对全市压缩站点进行全覆盖检查及问题整改回头看的，每少1站次扣2分。</w:t>
            </w:r>
          </w:p>
        </w:tc>
        <w:tc>
          <w:tcPr>
            <w:tcW w:w="1950"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采购人依托智慧环卫系统分析结果进行评价或检查照片水印</w:t>
            </w: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275"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检查是否到位</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中标人未按照内容对每站进行严格检查并及时仔细填写检查表的。每站次扣1分。</w:t>
            </w:r>
          </w:p>
        </w:tc>
        <w:tc>
          <w:tcPr>
            <w:tcW w:w="1950"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采购人根据中标人通过智慧环卫提交的检查资料或通过压缩站视频监控系统进行检查</w:t>
            </w: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275"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提交资料的质量</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中标人提交的季度检查报告有错漏的每处扣1分，内容弄虚作假的每处扣5分。</w:t>
            </w:r>
          </w:p>
        </w:tc>
        <w:tc>
          <w:tcPr>
            <w:tcW w:w="1950"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采购人对中标人提交的报告进行抽查</w:t>
            </w: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restart"/>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275" w:type="dxa"/>
            <w:vMerge w:val="restart"/>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安全生产</w:t>
            </w: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中标人在检查过程中发生道路交通安全生产事故并造成人员伤亡的责任事故，每宗扣10分。</w:t>
            </w:r>
          </w:p>
        </w:tc>
        <w:tc>
          <w:tcPr>
            <w:tcW w:w="1950" w:type="dxa"/>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管理单位和公安交警反馈情况</w:t>
            </w:r>
          </w:p>
          <w:p>
            <w:pPr>
              <w:spacing w:line="360" w:lineRule="auto"/>
              <w:jc w:val="center"/>
              <w:rPr>
                <w:rFonts w:hint="eastAsia" w:ascii="仿宋" w:hAnsi="仿宋" w:eastAsia="仿宋" w:cs="仿宋"/>
                <w:color w:val="auto"/>
                <w:sz w:val="24"/>
                <w:szCs w:val="24"/>
                <w:vertAlign w:val="baseline"/>
                <w:lang w:val="en-US" w:eastAsia="zh-CN"/>
              </w:rPr>
            </w:pP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Merge w:val="continue"/>
            <w:vAlign w:val="center"/>
          </w:tcPr>
          <w:p>
            <w:pPr>
              <w:spacing w:line="360" w:lineRule="auto"/>
              <w:jc w:val="center"/>
              <w:rPr>
                <w:rFonts w:hint="eastAsia" w:ascii="仿宋" w:hAnsi="仿宋" w:eastAsia="仿宋" w:cs="仿宋"/>
                <w:color w:val="auto"/>
                <w:sz w:val="24"/>
                <w:szCs w:val="24"/>
                <w:vertAlign w:val="baseline"/>
                <w:lang w:val="en-US" w:eastAsia="zh-CN"/>
              </w:rPr>
            </w:pPr>
          </w:p>
        </w:tc>
        <w:tc>
          <w:tcPr>
            <w:tcW w:w="1275" w:type="dxa"/>
            <w:vMerge w:val="continue"/>
            <w:vAlign w:val="center"/>
          </w:tcPr>
          <w:p>
            <w:pPr>
              <w:spacing w:line="360" w:lineRule="auto"/>
              <w:jc w:val="center"/>
              <w:rPr>
                <w:rFonts w:hint="eastAsia" w:ascii="仿宋" w:hAnsi="仿宋" w:eastAsia="仿宋" w:cs="仿宋"/>
                <w:color w:val="auto"/>
                <w:sz w:val="24"/>
                <w:szCs w:val="24"/>
                <w:lang w:val="en-US" w:eastAsia="zh-CN"/>
              </w:rPr>
            </w:pPr>
          </w:p>
        </w:tc>
        <w:tc>
          <w:tcPr>
            <w:tcW w:w="3495"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因中标人检查不到位导致垃圾压缩站发生安全生产事故，每宗扣10分。</w:t>
            </w:r>
          </w:p>
        </w:tc>
        <w:tc>
          <w:tcPr>
            <w:tcW w:w="1950"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管理单位反馈情况</w:t>
            </w: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27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廉政纪律</w:t>
            </w:r>
          </w:p>
        </w:tc>
        <w:tc>
          <w:tcPr>
            <w:tcW w:w="3495" w:type="dxa"/>
            <w:vAlign w:val="center"/>
          </w:tcPr>
          <w:p>
            <w:pPr>
              <w:spacing w:line="360" w:lineRule="auto"/>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采购人检查人员因收受管理单位礼金有价证券。礼品或接受宴请，徇私舞弊、篡改检查结果的，每宗扣10分。</w:t>
            </w:r>
          </w:p>
        </w:tc>
        <w:tc>
          <w:tcPr>
            <w:tcW w:w="1950" w:type="dxa"/>
            <w:vAlign w:val="center"/>
          </w:tcPr>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随机监督、现场抽查</w:t>
            </w:r>
          </w:p>
          <w:p>
            <w:pPr>
              <w:spacing w:line="360" w:lineRule="auto"/>
              <w:jc w:val="center"/>
              <w:rPr>
                <w:rFonts w:hint="eastAsia" w:ascii="仿宋" w:hAnsi="仿宋" w:eastAsia="仿宋" w:cs="仿宋"/>
                <w:color w:val="auto"/>
                <w:sz w:val="24"/>
                <w:szCs w:val="24"/>
                <w:lang w:val="en-US" w:eastAsia="zh-CN"/>
              </w:rPr>
            </w:pPr>
          </w:p>
        </w:tc>
        <w:tc>
          <w:tcPr>
            <w:tcW w:w="1561" w:type="dxa"/>
            <w:vMerge w:val="continue"/>
            <w:vAlign w:val="top"/>
          </w:tcPr>
          <w:p>
            <w:pPr>
              <w:spacing w:line="360" w:lineRule="auto"/>
              <w:rPr>
                <w:rFonts w:hint="eastAsia" w:ascii="仿宋" w:hAnsi="仿宋" w:eastAsia="仿宋" w:cs="仿宋"/>
                <w:color w:val="auto"/>
                <w:sz w:val="24"/>
                <w:szCs w:val="24"/>
                <w:vertAlign w:val="baseline"/>
                <w:lang w:val="en-US" w:eastAsia="zh-CN"/>
              </w:rPr>
            </w:pPr>
          </w:p>
        </w:tc>
      </w:tr>
    </w:tbl>
    <w:p>
      <w:pPr>
        <w:rPr>
          <w:rFonts w:hint="default" w:ascii="仿宋" w:hAnsi="仿宋" w:eastAsia="仿宋" w:cs="仿宋"/>
          <w:color w:val="auto"/>
          <w:kern w:val="0"/>
          <w:sz w:val="24"/>
          <w:szCs w:val="24"/>
          <w:lang w:val="en-US" w:eastAsia="zh-CN" w:bidi="ar-SA"/>
        </w:rPr>
      </w:pPr>
      <w:r>
        <w:rPr>
          <w:rFonts w:hint="default" w:ascii="仿宋" w:hAnsi="仿宋" w:eastAsia="仿宋" w:cs="仿宋"/>
          <w:color w:val="auto"/>
          <w:kern w:val="0"/>
          <w:sz w:val="24"/>
          <w:szCs w:val="24"/>
          <w:lang w:val="en-US" w:eastAsia="zh-CN" w:bidi="ar-SA"/>
        </w:rPr>
        <w:br w:type="page"/>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kern w:val="0"/>
          <w:sz w:val="28"/>
          <w:szCs w:val="28"/>
          <w:lang w:val="en-US" w:eastAsia="zh-CN" w:bidi="ar-SA"/>
        </w:rPr>
      </w:pPr>
      <w:r>
        <w:rPr>
          <w:rFonts w:hint="eastAsia" w:ascii="宋体" w:hAnsi="宋体" w:eastAsia="宋体" w:cs="宋体"/>
          <w:b/>
          <w:bCs/>
          <w:color w:val="auto"/>
          <w:kern w:val="0"/>
          <w:sz w:val="28"/>
          <w:szCs w:val="28"/>
          <w:lang w:val="en-US" w:eastAsia="zh-CN" w:bidi="ar-SA"/>
        </w:rPr>
        <w:t>附件</w:t>
      </w:r>
      <w:r>
        <w:rPr>
          <w:rFonts w:hint="eastAsia" w:cs="宋体"/>
          <w:b/>
          <w:bCs/>
          <w:color w:val="auto"/>
          <w:kern w:val="0"/>
          <w:sz w:val="28"/>
          <w:szCs w:val="28"/>
          <w:lang w:val="en-US" w:eastAsia="zh-CN" w:bidi="ar-SA"/>
        </w:rPr>
        <w:t>2</w:t>
      </w:r>
      <w:r>
        <w:rPr>
          <w:rFonts w:hint="eastAsia" w:ascii="宋体" w:hAnsi="宋体" w:eastAsia="宋体" w:cs="宋体"/>
          <w:b/>
          <w:bCs/>
          <w:color w:val="auto"/>
          <w:kern w:val="0"/>
          <w:sz w:val="28"/>
          <w:szCs w:val="28"/>
          <w:lang w:val="en-US" w:eastAsia="zh-CN" w:bidi="ar-SA"/>
        </w:rPr>
        <w:t>：《广州市城市管理专用作业车辆和设备管理办法》（穗城管规字〔2018〕7号）</w:t>
      </w:r>
    </w:p>
    <w:p>
      <w:pPr>
        <w:widowControl w:val="0"/>
        <w:numPr>
          <w:ilvl w:val="0"/>
          <w:numId w:val="0"/>
        </w:numPr>
        <w:spacing w:line="360" w:lineRule="auto"/>
        <w:jc w:val="center"/>
        <w:rPr>
          <w:rFonts w:hint="eastAsia" w:ascii="黑体" w:hAnsi="黑体" w:eastAsia="黑体" w:cs="黑体"/>
          <w:b/>
          <w:bCs/>
          <w:color w:val="auto"/>
          <w:sz w:val="28"/>
          <w:szCs w:val="28"/>
        </w:rPr>
      </w:pPr>
    </w:p>
    <w:p>
      <w:pPr>
        <w:widowControl w:val="0"/>
        <w:numPr>
          <w:ilvl w:val="0"/>
          <w:numId w:val="0"/>
        </w:numPr>
        <w:spacing w:line="360" w:lineRule="auto"/>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广州市城市管理专用作业车辆和设备管理办法</w:t>
      </w:r>
    </w:p>
    <w:p>
      <w:pPr>
        <w:outlineLvl w:val="9"/>
        <w:rPr>
          <w:rFonts w:hint="eastAsia"/>
        </w:rPr>
      </w:pPr>
    </w:p>
    <w:p>
      <w:pPr>
        <w:widowControl w:val="0"/>
        <w:numPr>
          <w:ilvl w:val="0"/>
          <w:numId w:val="3"/>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为建设服务型政府，加强城市管理专用作业车辆和设备管理，确保各类城市管理专用作业车辆和设备处于良好运行状态，提升城市管理服务质量，根据《城市市容和环境卫生管理条例》（国务院令第 101 号）、《广东省城乡生活垃圾处理条例》、《城市建筑垃圾管理规定》（建设部令第139 号）、《城市生活垃圾管理办法》（建设部令第 157 号）、《广州市生活垃圾分类管理条例》、《广州市市容环境卫生管理规定》和《广州市建筑废弃物管理条例》等国家、省、市有关法律法规、规章和技术规范，结合我市实际，制定本办法。</w:t>
      </w:r>
    </w:p>
    <w:p>
      <w:pPr>
        <w:widowControl w:val="0"/>
        <w:numPr>
          <w:ilvl w:val="0"/>
          <w:numId w:val="3"/>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市行政区域内城市管理专用作业车辆和设备管理适用本办法。包括：各类道路清扫车辆；各类道路及市容洒水、清洗作业车辆；各类生活垃圾收运车辆；各类罐式及容器收运车辆；各类分类垃圾收运车辆；各类建筑废弃物运输车辆；各类水上垃圾收集、保洁船只；各类垃圾中转、压缩或处理设备</w:t>
      </w:r>
      <w:r>
        <w:rPr>
          <w:rFonts w:hint="eastAsia" w:ascii="仿宋" w:hAnsi="仿宋" w:eastAsia="仿宋" w:cs="仿宋"/>
          <w:color w:val="auto"/>
          <w:sz w:val="24"/>
          <w:szCs w:val="24"/>
          <w:lang w:eastAsia="zh-CN"/>
        </w:rPr>
        <w:t>。</w:t>
      </w:r>
    </w:p>
    <w:p>
      <w:pPr>
        <w:widowControl w:val="0"/>
        <w:numPr>
          <w:ilvl w:val="0"/>
          <w:numId w:val="3"/>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城市管理专用作业车辆和设备实行日常养护，定期检查，分类管理的原则。</w:t>
      </w:r>
    </w:p>
    <w:p>
      <w:pPr>
        <w:widowControl w:val="0"/>
        <w:numPr>
          <w:ilvl w:val="0"/>
          <w:numId w:val="0"/>
        </w:numPr>
        <w:spacing w:line="360" w:lineRule="auto"/>
        <w:ind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广州市城市管理委员会应当制定完善城市管理专用作业车辆和设备的相关规范要求。</w:t>
      </w:r>
    </w:p>
    <w:p>
      <w:pPr>
        <w:widowControl w:val="0"/>
        <w:numPr>
          <w:ilvl w:val="0"/>
          <w:numId w:val="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广州市城市管理委员会是城市管理专用作业车辆和设备的主管部门，区城管部门负责行政区域内城市管理专用作业车辆和设备的日常监管。</w:t>
      </w:r>
    </w:p>
    <w:p>
      <w:pPr>
        <w:widowControl w:val="0"/>
        <w:numPr>
          <w:ilvl w:val="0"/>
          <w:numId w:val="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使用单位负责作业车辆和设备的日常保养维护，应建立健全相应的维修保养、经费投入、人员培训等管理制度和保障机制，确保车辆和设备处于良好运行状态。城市管理专用作业车辆和设备应当定期进行检查，检查合格方可从事城市管理作业。定期检查的技术保障由广州市城市管理委员会下属城市管理机械设备保障机构承担。</w:t>
      </w:r>
    </w:p>
    <w:p>
      <w:pPr>
        <w:widowControl w:val="0"/>
        <w:numPr>
          <w:ilvl w:val="0"/>
          <w:numId w:val="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各区城管部门应当督促使用单位对城市管理专用作业车辆和设备进行维护保养，确保车容美观，车况良好。加强对垃圾运输车辆司乘人员的教育，严禁垃圾运输作业超高超载、垃圾外露、挂包、扬洒和渗滤液滴漏。</w:t>
      </w:r>
    </w:p>
    <w:p>
      <w:pPr>
        <w:widowControl w:val="0"/>
        <w:numPr>
          <w:ilvl w:val="0"/>
          <w:numId w:val="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在垃圾压缩装填完成后，应当清理接水槽，保证接水槽干净无积存垃圾，尽量排尽压缩过程中产生的污水，清理车辆尾部周边的吊挂垃圾，冲洗干净车身，确保排污口全部关闭、阀门密闭无滴漏、厢体外无吊挂垃圾，车身整洁再上路。</w:t>
      </w:r>
    </w:p>
    <w:p>
      <w:pPr>
        <w:widowControl w:val="0"/>
        <w:numPr>
          <w:ilvl w:val="0"/>
          <w:numId w:val="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城市管理专用作业车辆和设备按以下范围和频次进行检查：</w:t>
      </w:r>
    </w:p>
    <w:p>
      <w:pPr>
        <w:widowControl w:val="0"/>
        <w:numPr>
          <w:ilvl w:val="0"/>
          <w:numId w:val="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各类道路及市容洒水、清洗作业车辆；各类罐式及容器收运车辆；各类水上垃圾收集、保洁船只等城市管理专用作业车辆和设备每年检查一次。</w:t>
      </w:r>
    </w:p>
    <w:p>
      <w:pPr>
        <w:widowControl w:val="0"/>
        <w:numPr>
          <w:ilvl w:val="0"/>
          <w:numId w:val="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建筑废弃物运输车辆每半年检查一次。</w:t>
      </w:r>
    </w:p>
    <w:p>
      <w:pPr>
        <w:widowControl w:val="0"/>
        <w:numPr>
          <w:ilvl w:val="0"/>
          <w:numId w:val="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各</w:t>
      </w:r>
      <w:r>
        <w:rPr>
          <w:rFonts w:hint="eastAsia" w:ascii="仿宋" w:hAnsi="仿宋" w:eastAsia="仿宋" w:cs="仿宋"/>
          <w:color w:val="auto"/>
          <w:sz w:val="24"/>
          <w:szCs w:val="24"/>
        </w:rPr>
        <w:t>类道路清扫车辆；各类分类垃圾收运车辆；各类生活垃圾收运车辆；各类垃圾中转、压缩或处理设备每三个月检查一次。</w:t>
      </w:r>
    </w:p>
    <w:p>
      <w:pPr>
        <w:widowControl w:val="0"/>
        <w:numPr>
          <w:ilvl w:val="0"/>
          <w:numId w:val="0"/>
        </w:num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城市管理专用作业车辆和设备检查范围和频次，可根据管理需要进行调</w:t>
      </w:r>
      <w:r>
        <w:rPr>
          <w:rFonts w:hint="eastAsia" w:ascii="仿宋" w:hAnsi="仿宋" w:eastAsia="仿宋" w:cs="仿宋"/>
          <w:color w:val="auto"/>
          <w:sz w:val="24"/>
          <w:szCs w:val="24"/>
          <w:lang w:val="en-US" w:eastAsia="zh-CN"/>
        </w:rPr>
        <w:t>整。</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第九条 </w:t>
      </w:r>
      <w:r>
        <w:rPr>
          <w:rFonts w:hint="eastAsia" w:ascii="仿宋" w:hAnsi="仿宋" w:eastAsia="仿宋" w:cs="仿宋"/>
          <w:color w:val="auto"/>
          <w:sz w:val="24"/>
          <w:szCs w:val="24"/>
        </w:rPr>
        <w:t>城市管理专用作业车辆和设备检查采取以区为单位，定时定点集中检查为主，零散或复检车辆定点送检为辅，过程抽查配合的模式。</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城市管理专用作业车辆和设备检查工作规范另行制定。</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第十条 </w:t>
      </w:r>
      <w:r>
        <w:rPr>
          <w:rFonts w:hint="eastAsia" w:ascii="仿宋" w:hAnsi="仿宋" w:eastAsia="仿宋" w:cs="仿宋"/>
          <w:color w:val="auto"/>
          <w:sz w:val="24"/>
          <w:szCs w:val="24"/>
        </w:rPr>
        <w:t>纳入检查范围的车辆和设备应建立管理档案。</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在投入作业前，应当进行首次检查，并将相关信息录入广州市城市管理信息化管理体系数据库。数据库的日常管理、数据采集、分析应用由广州市城市管理委员会下属城市管理机械设备保障机构承担。</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第十一条 </w:t>
      </w:r>
      <w:r>
        <w:rPr>
          <w:rFonts w:hint="eastAsia" w:ascii="仿宋" w:hAnsi="仿宋" w:eastAsia="仿宋" w:cs="仿宋"/>
          <w:color w:val="auto"/>
          <w:sz w:val="24"/>
          <w:szCs w:val="24"/>
        </w:rPr>
        <w:t>城市管理专用作业车辆和设备检查包括以下内容：</w:t>
      </w:r>
    </w:p>
    <w:p>
      <w:pPr>
        <w:widowControl w:val="0"/>
        <w:numPr>
          <w:ilvl w:val="0"/>
          <w:numId w:val="5"/>
        </w:numPr>
        <w:spacing w:line="360" w:lineRule="auto"/>
        <w:ind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作业单位城市管理作业资质核查。</w:t>
      </w:r>
    </w:p>
    <w:p>
      <w:pPr>
        <w:widowControl w:val="0"/>
        <w:numPr>
          <w:ilvl w:val="0"/>
          <w:numId w:val="5"/>
        </w:numPr>
        <w:spacing w:line="360" w:lineRule="auto"/>
        <w:ind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城市管理专用作业车辆和设备的相关信息。</w:t>
      </w:r>
    </w:p>
    <w:p>
      <w:pPr>
        <w:widowControl w:val="0"/>
        <w:numPr>
          <w:ilvl w:val="0"/>
          <w:numId w:val="5"/>
        </w:numPr>
        <w:spacing w:line="360" w:lineRule="auto"/>
        <w:ind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车辆和设备状况评价：</w:t>
      </w:r>
    </w:p>
    <w:p>
      <w:pPr>
        <w:widowControl w:val="0"/>
        <w:numPr>
          <w:ilvl w:val="0"/>
          <w:numId w:val="6"/>
        </w:numPr>
        <w:spacing w:line="360" w:lineRule="auto"/>
        <w:ind w:firstLine="960" w:firstLineChars="400"/>
        <w:jc w:val="both"/>
        <w:rPr>
          <w:rFonts w:hint="eastAsia" w:ascii="仿宋" w:hAnsi="仿宋" w:eastAsia="仿宋" w:cs="仿宋"/>
          <w:color w:val="auto"/>
          <w:sz w:val="24"/>
          <w:szCs w:val="24"/>
        </w:rPr>
      </w:pPr>
      <w:r>
        <w:rPr>
          <w:rFonts w:hint="eastAsia" w:ascii="仿宋" w:hAnsi="仿宋" w:eastAsia="仿宋" w:cs="仿宋"/>
          <w:color w:val="auto"/>
          <w:sz w:val="24"/>
          <w:szCs w:val="24"/>
        </w:rPr>
        <w:t>专用设备基本安全性能评；</w:t>
      </w:r>
    </w:p>
    <w:p>
      <w:pPr>
        <w:widowControl w:val="0"/>
        <w:numPr>
          <w:ilvl w:val="0"/>
          <w:numId w:val="6"/>
        </w:numPr>
        <w:spacing w:line="360" w:lineRule="auto"/>
        <w:ind w:firstLine="960" w:firstLineChars="400"/>
        <w:jc w:val="both"/>
        <w:rPr>
          <w:rFonts w:hint="eastAsia" w:ascii="仿宋" w:hAnsi="仿宋" w:eastAsia="仿宋" w:cs="仿宋"/>
          <w:color w:val="auto"/>
          <w:sz w:val="24"/>
          <w:szCs w:val="24"/>
        </w:rPr>
      </w:pPr>
      <w:r>
        <w:rPr>
          <w:rFonts w:hint="eastAsia" w:ascii="仿宋" w:hAnsi="仿宋" w:eastAsia="仿宋" w:cs="仿宋"/>
          <w:color w:val="auto"/>
          <w:sz w:val="24"/>
          <w:szCs w:val="24"/>
        </w:rPr>
        <w:t>车容车貌、设备整体外观评价；</w:t>
      </w:r>
    </w:p>
    <w:p>
      <w:pPr>
        <w:widowControl w:val="0"/>
        <w:numPr>
          <w:ilvl w:val="0"/>
          <w:numId w:val="6"/>
        </w:numPr>
        <w:spacing w:line="360" w:lineRule="auto"/>
        <w:ind w:firstLine="960" w:firstLineChars="400"/>
        <w:jc w:val="both"/>
        <w:rPr>
          <w:rFonts w:hint="eastAsia" w:ascii="仿宋" w:hAnsi="仿宋" w:eastAsia="仿宋" w:cs="仿宋"/>
          <w:color w:val="auto"/>
          <w:sz w:val="24"/>
          <w:szCs w:val="24"/>
        </w:rPr>
      </w:pPr>
      <w:r>
        <w:rPr>
          <w:rFonts w:hint="eastAsia" w:ascii="仿宋" w:hAnsi="仿宋" w:eastAsia="仿宋" w:cs="仿宋"/>
          <w:color w:val="auto"/>
          <w:sz w:val="24"/>
          <w:szCs w:val="24"/>
        </w:rPr>
        <w:t>防“跑、冒、滴、漏”功能性检测；</w:t>
      </w:r>
    </w:p>
    <w:p>
      <w:pPr>
        <w:widowControl w:val="0"/>
        <w:numPr>
          <w:ilvl w:val="0"/>
          <w:numId w:val="6"/>
        </w:numPr>
        <w:spacing w:line="360" w:lineRule="auto"/>
        <w:ind w:firstLine="960" w:firstLineChars="400"/>
        <w:jc w:val="both"/>
        <w:rPr>
          <w:rFonts w:hint="eastAsia" w:ascii="仿宋" w:hAnsi="仿宋" w:eastAsia="仿宋" w:cs="仿宋"/>
          <w:color w:val="auto"/>
          <w:sz w:val="24"/>
          <w:szCs w:val="24"/>
        </w:rPr>
      </w:pPr>
      <w:r>
        <w:rPr>
          <w:rFonts w:hint="eastAsia" w:ascii="仿宋" w:hAnsi="仿宋" w:eastAsia="仿宋" w:cs="仿宋"/>
          <w:color w:val="auto"/>
          <w:sz w:val="24"/>
          <w:szCs w:val="24"/>
        </w:rPr>
        <w:t>专用功能运行状况检测；</w:t>
      </w:r>
    </w:p>
    <w:p>
      <w:pPr>
        <w:widowControl w:val="0"/>
        <w:numPr>
          <w:ilvl w:val="0"/>
          <w:numId w:val="6"/>
        </w:numPr>
        <w:spacing w:line="360" w:lineRule="auto"/>
        <w:ind w:firstLine="960" w:firstLineChars="400"/>
        <w:jc w:val="both"/>
        <w:rPr>
          <w:rFonts w:hint="eastAsia" w:ascii="仿宋" w:hAnsi="仿宋" w:eastAsia="仿宋" w:cs="仿宋"/>
          <w:color w:val="auto"/>
          <w:sz w:val="24"/>
          <w:szCs w:val="24"/>
        </w:rPr>
      </w:pPr>
      <w:r>
        <w:rPr>
          <w:rFonts w:hint="eastAsia" w:ascii="仿宋" w:hAnsi="仿宋" w:eastAsia="仿宋" w:cs="仿宋"/>
          <w:color w:val="auto"/>
          <w:sz w:val="24"/>
          <w:szCs w:val="24"/>
        </w:rPr>
        <w:t>污水排放、工作环境质量评价。</w:t>
      </w:r>
    </w:p>
    <w:p>
      <w:pPr>
        <w:widowControl w:val="0"/>
        <w:numPr>
          <w:ilvl w:val="0"/>
          <w:numId w:val="5"/>
        </w:numPr>
        <w:spacing w:line="360" w:lineRule="auto"/>
        <w:ind w:left="0" w:leftChars="0"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现场作业检查。</w:t>
      </w:r>
    </w:p>
    <w:p>
      <w:pPr>
        <w:widowControl w:val="0"/>
        <w:numPr>
          <w:ilvl w:val="0"/>
          <w:numId w:val="5"/>
        </w:numPr>
        <w:spacing w:line="360" w:lineRule="auto"/>
        <w:ind w:left="0" w:leftChars="0"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作业单位质量保证体系及劳动安全、作业环境评价。</w:t>
      </w:r>
    </w:p>
    <w:p>
      <w:pPr>
        <w:widowControl w:val="0"/>
        <w:numPr>
          <w:ilvl w:val="0"/>
          <w:numId w:val="5"/>
        </w:numPr>
        <w:spacing w:line="360" w:lineRule="auto"/>
        <w:ind w:left="0" w:leftChars="0"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整改情况。</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第十二条 </w:t>
      </w:r>
      <w:r>
        <w:rPr>
          <w:rFonts w:hint="eastAsia" w:ascii="仿宋" w:hAnsi="仿宋" w:eastAsia="仿宋" w:cs="仿宋"/>
          <w:color w:val="auto"/>
          <w:sz w:val="24"/>
          <w:szCs w:val="24"/>
        </w:rPr>
        <w:t>广州市城市管理专用作业车辆和设备实行分类管理制度，按检查评价结论分为 A、B、C、D 四类，相关信息及检查结果统一录入广州市城市管理信息化管理体系数据库，作为城市管理部门履行相关监管职能的依据。</w:t>
      </w:r>
    </w:p>
    <w:p>
      <w:pPr>
        <w:widowControl w:val="0"/>
        <w:numPr>
          <w:ilvl w:val="0"/>
          <w:numId w:val="7"/>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A 类：车辆和设备容貌整洁，各项性能完好，各检查项目一次通过。</w:t>
      </w:r>
    </w:p>
    <w:p>
      <w:pPr>
        <w:widowControl w:val="0"/>
        <w:numPr>
          <w:ilvl w:val="0"/>
          <w:numId w:val="7"/>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B 类：车辆和设备外观无大范围破损，符合专用功能基本要求，装载容器密闭，符合运输废弃物不外露、泄漏、遗撒的要求。</w:t>
      </w:r>
    </w:p>
    <w:p>
      <w:pPr>
        <w:widowControl w:val="0"/>
        <w:numPr>
          <w:ilvl w:val="0"/>
          <w:numId w:val="7"/>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C 类：车辆和设备存在专用功能不符合相关技术规范，容貌不整洁，不符合运输废弃物不外露、泄漏、遗撒的要求</w:t>
      </w:r>
      <w:r>
        <w:rPr>
          <w:rFonts w:hint="eastAsia" w:ascii="仿宋" w:hAnsi="仿宋" w:eastAsia="仿宋" w:cs="仿宋"/>
          <w:color w:val="auto"/>
          <w:sz w:val="24"/>
          <w:szCs w:val="24"/>
          <w:lang w:eastAsia="zh-CN"/>
        </w:rPr>
        <w:t>。</w:t>
      </w:r>
    </w:p>
    <w:p>
      <w:pPr>
        <w:widowControl w:val="0"/>
        <w:numPr>
          <w:ilvl w:val="0"/>
          <w:numId w:val="7"/>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D 类：车辆和设备作业功能或者密闭性存在严重缺陷，不符合作业要求或者外观严重影响市容。</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第十三条 </w:t>
      </w:r>
      <w:r>
        <w:rPr>
          <w:rFonts w:hint="eastAsia" w:ascii="仿宋" w:hAnsi="仿宋" w:eastAsia="仿宋" w:cs="仿宋"/>
          <w:color w:val="auto"/>
          <w:sz w:val="24"/>
          <w:szCs w:val="24"/>
        </w:rPr>
        <w:t>城市管理专用作业车辆和设备检查结果作为城市管理部门履行相关监管职能的依据，纳入“以奖代拨”体系，与市建设干净整洁平安有序城市环境检查评价方案等评价体系挂钩。</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评价为 A、B 类的可以正常作业。</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评价为 C、D 类的，应当在30日内完成整改，提请复检。未经整改或整改不合格继续作业造成泄漏、遗撒的，采取孰高适用原则按照《城市建筑垃圾管理规定》（建设部令第 139 号）第二十三条、《城市生活垃圾管理办法》（建设部令第 157 号）第四十四条、《广州市市容环境卫生管理规定》第五十八条第九项规定依法予以最高额度处罚。</w:t>
      </w:r>
    </w:p>
    <w:p>
      <w:pPr>
        <w:widowControl w:val="0"/>
        <w:numPr>
          <w:ilvl w:val="0"/>
          <w:numId w:val="0"/>
        </w:numPr>
        <w:spacing w:line="360" w:lineRule="auto"/>
        <w:ind w:left="479" w:leftChars="228"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评价为 C、D 类的，在整改期间暂停使用车辆的垃圾终处理设施进场IC卡。</w:t>
      </w:r>
      <w:r>
        <w:rPr>
          <w:rFonts w:hint="eastAsia" w:ascii="仿宋" w:hAnsi="仿宋" w:eastAsia="仿宋" w:cs="仿宋"/>
          <w:color w:val="auto"/>
          <w:sz w:val="24"/>
          <w:szCs w:val="24"/>
          <w:lang w:val="en-US" w:eastAsia="zh-CN"/>
        </w:rPr>
        <w:t xml:space="preserve">第十四条 </w:t>
      </w:r>
      <w:r>
        <w:rPr>
          <w:rFonts w:hint="eastAsia" w:ascii="仿宋" w:hAnsi="仿宋" w:eastAsia="仿宋" w:cs="仿宋"/>
          <w:color w:val="auto"/>
          <w:sz w:val="24"/>
          <w:szCs w:val="24"/>
        </w:rPr>
        <w:t>城市管理专用作业车辆和设备定期检查按照下列程序进行：</w:t>
      </w:r>
    </w:p>
    <w:p>
      <w:pPr>
        <w:widowControl w:val="0"/>
        <w:numPr>
          <w:ilvl w:val="0"/>
          <w:numId w:val="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由城市管理机械设备保障机构与各区城管部门商定检查时间，根据广州市城市管理信息化管理体系数据库中的车辆和设备数据信息，编制全市所有车辆和设备的检查计划，并由各区城管部门送达各作业单位；</w:t>
      </w:r>
    </w:p>
    <w:p>
      <w:pPr>
        <w:widowControl w:val="0"/>
        <w:numPr>
          <w:ilvl w:val="0"/>
          <w:numId w:val="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以区为单位，规定时间集中上门检查，零散或复检车辆由各区城管部门通知业主单位自行送城市管理机械设备保障机构检查；</w:t>
      </w:r>
    </w:p>
    <w:p>
      <w:pPr>
        <w:widowControl w:val="0"/>
        <w:numPr>
          <w:ilvl w:val="0"/>
          <w:numId w:val="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各类水上垃圾收集、保洁船只及各类垃圾中转、压缩或处理设备等城市管理作业设备由城市管理机械设备保障机构上门检查；</w:t>
      </w:r>
    </w:p>
    <w:p>
      <w:pPr>
        <w:widowControl w:val="0"/>
        <w:numPr>
          <w:ilvl w:val="0"/>
          <w:numId w:val="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城市管理专用作业车辆和设备实行全过程监督，由城市管理机械设备保障机构在垃圾中转、压缩站和生活垃圾终处理设施等场所进行不定期抽查；</w:t>
      </w:r>
    </w:p>
    <w:p>
      <w:pPr>
        <w:widowControl w:val="0"/>
        <w:numPr>
          <w:ilvl w:val="0"/>
          <w:numId w:val="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城市管理机械设备保障机构对车辆和设备进行检查后，须于当日按照本办法第十三条作出等级评价，其中C、D类应提出整改建议。</w:t>
      </w:r>
    </w:p>
    <w:p>
      <w:pPr>
        <w:widowControl w:val="0"/>
        <w:numPr>
          <w:ilvl w:val="0"/>
          <w:numId w:val="0"/>
        </w:numPr>
        <w:spacing w:line="360" w:lineRule="auto"/>
        <w:ind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定期检查不得向作业单位收费，但整改中涉及的相关费用由整改人承担。</w:t>
      </w:r>
    </w:p>
    <w:p>
      <w:pPr>
        <w:widowControl w:val="0"/>
        <w:numPr>
          <w:ilvl w:val="0"/>
          <w:numId w:val="9"/>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现场作业检查中发现城市管理专用作业车辆和设备不作密封、包扎、覆盖，造成泄漏、遗撒的，城市管理机械设备保障机构告知城市管理综合执法机关按照《城市建筑垃圾管理规定》（建设部令第139号）第二十三条、《城市生活垃圾管理办法》（建设部令第 157 号）第四十四条、《广州市市容环境卫生管理规定》第五十八条第九项规定依法予以处罚。</w:t>
      </w:r>
    </w:p>
    <w:p>
      <w:pPr>
        <w:widowControl w:val="0"/>
        <w:numPr>
          <w:ilvl w:val="0"/>
          <w:numId w:val="9"/>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作业单位不接受检查或者在检查工作中弄虚作假的，按本办法第十三条第四款规定处理。</w:t>
      </w:r>
    </w:p>
    <w:p>
      <w:pPr>
        <w:widowControl w:val="0"/>
        <w:numPr>
          <w:ilvl w:val="0"/>
          <w:numId w:val="9"/>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负责检查、检测城市管理专用作业车辆和设备的有关工作人员滥用职权、玩忽职守、循私舞弊的，由主管部门视情节轻重给予相应的行政处分；构成犯罪的，移交司法机关处理。</w:t>
      </w:r>
    </w:p>
    <w:p>
      <w:pPr>
        <w:widowControl w:val="0"/>
        <w:numPr>
          <w:ilvl w:val="0"/>
          <w:numId w:val="9"/>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本办法自 2018 年 8 月 8 日起施行，有效期五年。</w:t>
      </w:r>
    </w:p>
    <w:p>
      <w:pPr>
        <w:rPr>
          <w:color w:val="auto"/>
        </w:rPr>
      </w:pPr>
    </w:p>
    <w:p>
      <w:pPr>
        <w:rPr>
          <w:rFonts w:hint="default"/>
          <w:color w:val="auto"/>
          <w:lang w:val="en-US" w:eastAsia="zh-CN"/>
        </w:rPr>
      </w:pPr>
      <w:r>
        <w:rPr>
          <w:rFonts w:hint="default"/>
          <w:color w:val="auto"/>
          <w:lang w:val="en-US" w:eastAsia="zh-CN"/>
        </w:rPr>
        <w:br w:type="page"/>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r>
        <w:rPr>
          <w:rFonts w:hint="eastAsia" w:cs="宋体"/>
          <w:b/>
          <w:bCs/>
          <w:color w:val="auto"/>
          <w:sz w:val="28"/>
          <w:szCs w:val="28"/>
          <w:lang w:val="en-US" w:eastAsia="zh-CN"/>
        </w:rPr>
        <w:t>3</w:t>
      </w:r>
      <w:r>
        <w:rPr>
          <w:rFonts w:hint="eastAsia" w:ascii="宋体" w:hAnsi="宋体" w:eastAsia="宋体" w:cs="宋体"/>
          <w:b/>
          <w:bCs/>
          <w:color w:val="auto"/>
          <w:sz w:val="28"/>
          <w:szCs w:val="28"/>
          <w:lang w:val="en-US" w:eastAsia="zh-CN"/>
        </w:rPr>
        <w:t>：</w:t>
      </w:r>
      <w:r>
        <w:rPr>
          <w:rFonts w:hint="eastAsia" w:cs="宋体"/>
          <w:b/>
          <w:bCs/>
          <w:color w:val="auto"/>
          <w:sz w:val="28"/>
          <w:szCs w:val="28"/>
          <w:lang w:val="en-US" w:eastAsia="zh-CN"/>
        </w:rPr>
        <w:t>《广州市环卫作业车辆和设备定期检查和作业过程抽查要求》</w:t>
      </w:r>
    </w:p>
    <w:p>
      <w:pPr>
        <w:spacing w:line="400" w:lineRule="exact"/>
        <w:jc w:val="center"/>
        <w:rPr>
          <w:rFonts w:hint="eastAsia" w:ascii="黑体" w:hAnsi="黑体" w:eastAsia="黑体" w:cs="黑体"/>
          <w:b/>
          <w:bCs/>
          <w:sz w:val="28"/>
          <w:szCs w:val="28"/>
        </w:rPr>
      </w:pPr>
    </w:p>
    <w:p>
      <w:pPr>
        <w:spacing w:line="400" w:lineRule="exact"/>
        <w:jc w:val="center"/>
        <w:rPr>
          <w:rFonts w:hint="eastAsia" w:ascii="黑体" w:hAnsi="黑体" w:eastAsia="黑体" w:cs="黑体"/>
          <w:b/>
          <w:bCs/>
          <w:sz w:val="28"/>
          <w:szCs w:val="28"/>
        </w:rPr>
      </w:pPr>
      <w:r>
        <w:rPr>
          <w:rFonts w:hint="eastAsia" w:ascii="黑体" w:hAnsi="黑体" w:eastAsia="黑体" w:cs="黑体"/>
          <w:b/>
          <w:bCs/>
          <w:sz w:val="28"/>
          <w:szCs w:val="28"/>
        </w:rPr>
        <w:t>广州市环卫作业车辆和设备定期检查和作业过程抽查要求</w:t>
      </w:r>
    </w:p>
    <w:p>
      <w:pPr>
        <w:rPr>
          <w:rFonts w:ascii="宋体" w:hAnsi="宋体" w:eastAsia="宋体" w:cs="仿宋_GB2312"/>
          <w:sz w:val="32"/>
          <w:szCs w:val="32"/>
        </w:rPr>
      </w:pP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一、检查方式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广州市行政区域内环卫作业车辆检查方式分为</w:t>
      </w:r>
      <w:r>
        <w:rPr>
          <w:rFonts w:hint="eastAsia" w:ascii="仿宋" w:hAnsi="仿宋" w:eastAsia="仿宋" w:cs="仿宋"/>
          <w:b/>
          <w:bCs/>
          <w:sz w:val="24"/>
          <w:szCs w:val="32"/>
        </w:rPr>
        <w:t>定期检查</w:t>
      </w:r>
      <w:r>
        <w:rPr>
          <w:rFonts w:hint="eastAsia" w:ascii="仿宋" w:hAnsi="仿宋" w:eastAsia="仿宋" w:cs="仿宋"/>
          <w:sz w:val="24"/>
          <w:szCs w:val="32"/>
        </w:rPr>
        <w:t>和</w:t>
      </w:r>
      <w:r>
        <w:rPr>
          <w:rFonts w:hint="eastAsia" w:ascii="仿宋" w:hAnsi="仿宋" w:eastAsia="仿宋" w:cs="仿宋"/>
          <w:b/>
          <w:bCs/>
          <w:sz w:val="24"/>
          <w:szCs w:val="32"/>
        </w:rPr>
        <w:t>作业过程抽查</w:t>
      </w:r>
      <w:r>
        <w:rPr>
          <w:rFonts w:hint="eastAsia" w:ascii="仿宋" w:hAnsi="仿宋" w:eastAsia="仿宋" w:cs="仿宋"/>
          <w:sz w:val="24"/>
          <w:szCs w:val="32"/>
        </w:rPr>
        <w:t>。</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定期检查</w:t>
      </w:r>
      <w:r>
        <w:rPr>
          <w:rFonts w:hint="eastAsia" w:ascii="仿宋" w:hAnsi="仿宋" w:eastAsia="仿宋" w:cs="仿宋"/>
          <w:sz w:val="24"/>
          <w:szCs w:val="32"/>
        </w:rPr>
        <w:t>主要采取以区为单位，定时定点集中检查为主，零散或复检车辆定点送检为辅，到各区设置的固定检测点或商定的地点对生活垃圾运输车辆进行每三个月定期检测一次。</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作业过程抽查</w:t>
      </w:r>
      <w:r>
        <w:rPr>
          <w:rFonts w:hint="eastAsia" w:ascii="仿宋" w:hAnsi="仿宋" w:eastAsia="仿宋" w:cs="仿宋"/>
          <w:sz w:val="24"/>
          <w:szCs w:val="32"/>
        </w:rPr>
        <w:t>主要采取设点设卡、随机抽查、路面巡查和资料审查四种方式，对广州市行政区域内城市管理专用作业车辆、设施设备和运输作业行为进行每周作业过程抽查。</w:t>
      </w:r>
    </w:p>
    <w:p>
      <w:pPr>
        <w:numPr>
          <w:ilvl w:val="0"/>
          <w:numId w:val="1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检查范围</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车辆类型只限定为按照国家车辆管理法规规定，经车辆管理机关审核、检验、登记并核发带有注册登记编号的硬质号码牌的各类道路及市容洒水、清洗、清扫作业车辆；各类罐式及容器收运车辆；各类生活垃圾收运车辆。</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三、定期检查要求</w:t>
      </w:r>
    </w:p>
    <w:p>
      <w:pPr>
        <w:numPr>
          <w:ilvl w:val="0"/>
          <w:numId w:val="11"/>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标识铭牌安装要求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车辆除各类道路及市容洒水、清洗作业车辆；各类罐式及容器收运车辆；各类道路清扫车辆外，新车或初次进入广州市从事生活垃圾运输的车辆在投入作业前需安装唯一性标识码,标识码采用金属或防腐材料制作，生活垃圾运输车辆的车厢、底盘各安装一个唯一性标识铭牌或电子标识牌。标识码按以下标准设置：</w:t>
      </w:r>
    </w:p>
    <w:p>
      <w:pPr>
        <w:spacing w:line="360" w:lineRule="auto"/>
        <w:rPr>
          <w:rFonts w:hint="eastAsia" w:ascii="仿宋" w:hAnsi="仿宋" w:eastAsia="仿宋" w:cs="仿宋"/>
          <w:sz w:val="24"/>
          <w:szCs w:val="32"/>
        </w:rPr>
      </w:pPr>
    </w:p>
    <w:p>
      <w:pPr>
        <w:spacing w:line="360" w:lineRule="auto"/>
        <w:rPr>
          <w:rFonts w:hint="eastAsia" w:ascii="仿宋" w:hAnsi="仿宋" w:eastAsia="仿宋" w:cs="仿宋"/>
          <w:sz w:val="24"/>
          <w:szCs w:val="32"/>
        </w:rPr>
      </w:pPr>
      <w:r>
        <w:rPr>
          <w:rFonts w:hint="eastAsia" w:ascii="仿宋" w:hAnsi="仿宋" w:eastAsia="仿宋" w:cs="仿宋"/>
          <w:sz w:val="24"/>
          <w:szCs w:val="32"/>
        </w:rPr>
        <w:object>
          <v:shape id="_x0000_i1025" o:spt="75" type="#_x0000_t75" style="height:126.75pt;width:460.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numPr>
          <w:ilvl w:val="0"/>
          <w:numId w:val="11"/>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车容车貌、设备整体外观评价要求</w:t>
      </w:r>
    </w:p>
    <w:p>
      <w:pPr>
        <w:spacing w:line="360" w:lineRule="auto"/>
        <w:ind w:firstLine="480" w:firstLineChars="200"/>
        <w:rPr>
          <w:rFonts w:hint="eastAsia" w:ascii="仿宋" w:hAnsi="仿宋" w:eastAsia="仿宋" w:cs="仿宋"/>
          <w:b/>
          <w:bCs/>
          <w:sz w:val="24"/>
          <w:szCs w:val="32"/>
        </w:rPr>
      </w:pPr>
      <w:r>
        <w:rPr>
          <w:rFonts w:hint="eastAsia" w:ascii="仿宋" w:hAnsi="仿宋" w:eastAsia="仿宋" w:cs="仿宋"/>
          <w:sz w:val="24"/>
          <w:szCs w:val="32"/>
        </w:rPr>
        <w:t>外观、涂装应符合广州市城市管理专用作业车辆的规定；各部件齐全无缺失，整体外观应无明显变形，无私自改装、外挂等情况；车辆内外应清洗干净无明显异味，各处污水槽、污水箱无积存垃圾、杂物及污水。</w:t>
      </w:r>
    </w:p>
    <w:p>
      <w:pPr>
        <w:numPr>
          <w:ilvl w:val="0"/>
          <w:numId w:val="11"/>
        </w:numPr>
        <w:spacing w:line="360" w:lineRule="auto"/>
        <w:ind w:firstLine="482" w:firstLineChars="200"/>
        <w:rPr>
          <w:rFonts w:hint="eastAsia" w:ascii="仿宋" w:hAnsi="仿宋" w:eastAsia="仿宋" w:cs="仿宋"/>
          <w:bCs/>
          <w:sz w:val="24"/>
          <w:szCs w:val="32"/>
        </w:rPr>
      </w:pPr>
      <w:r>
        <w:rPr>
          <w:rFonts w:hint="eastAsia" w:ascii="仿宋" w:hAnsi="仿宋" w:eastAsia="仿宋" w:cs="仿宋"/>
          <w:b/>
          <w:sz w:val="24"/>
          <w:szCs w:val="32"/>
        </w:rPr>
        <w:t>专用设备基本安全性能检查要求</w:t>
      </w:r>
    </w:p>
    <w:p>
      <w:pPr>
        <w:numPr>
          <w:ilvl w:val="0"/>
          <w:numId w:val="0"/>
        </w:numPr>
        <w:spacing w:line="360" w:lineRule="auto"/>
        <w:ind w:firstLine="482" w:firstLineChars="200"/>
        <w:rPr>
          <w:rFonts w:hint="eastAsia" w:ascii="仿宋" w:hAnsi="仿宋" w:eastAsia="仿宋" w:cs="仿宋"/>
          <w:b/>
          <w:sz w:val="24"/>
          <w:szCs w:val="32"/>
        </w:rPr>
      </w:pPr>
      <w:r>
        <w:rPr>
          <w:rFonts w:hint="eastAsia" w:ascii="仿宋" w:hAnsi="仿宋" w:eastAsia="仿宋" w:cs="仿宋"/>
          <w:b/>
          <w:sz w:val="24"/>
          <w:szCs w:val="32"/>
        </w:rPr>
        <w:t>1.道路及市容洒水、清洗作业车辆；罐式及容器收运车辆：</w:t>
      </w:r>
    </w:p>
    <w:p>
      <w:pPr>
        <w:numPr>
          <w:ilvl w:val="0"/>
          <w:numId w:val="0"/>
        </w:numPr>
        <w:spacing w:line="360" w:lineRule="auto"/>
        <w:ind w:firstLine="480" w:firstLineChars="200"/>
        <w:rPr>
          <w:rFonts w:hint="eastAsia" w:ascii="仿宋" w:hAnsi="仿宋" w:eastAsia="仿宋" w:cs="仿宋"/>
          <w:bCs/>
          <w:sz w:val="24"/>
          <w:szCs w:val="32"/>
        </w:rPr>
      </w:pPr>
      <w:r>
        <w:rPr>
          <w:rFonts w:hint="eastAsia" w:ascii="仿宋" w:hAnsi="仿宋" w:eastAsia="仿宋" w:cs="仿宋"/>
          <w:bCs/>
          <w:sz w:val="24"/>
          <w:szCs w:val="32"/>
        </w:rPr>
        <w:t>照明和信号装置应完好功能正常；车辆的警告、警示标识、操作指示标识应完好齐全；侧面防护、后下部防护应符合相关规定；连接件、紧固件应连接可靠，不得松脱；气路、水路和电路应排列整齐、夹持牢固，不应与运动件发生摩擦或干涉。</w:t>
      </w:r>
    </w:p>
    <w:p>
      <w:pPr>
        <w:numPr>
          <w:ilvl w:val="0"/>
          <w:numId w:val="0"/>
        </w:numPr>
        <w:spacing w:line="360" w:lineRule="auto"/>
        <w:ind w:firstLine="482" w:firstLineChars="200"/>
        <w:rPr>
          <w:rFonts w:hint="eastAsia" w:ascii="仿宋" w:hAnsi="仿宋" w:eastAsia="仿宋" w:cs="仿宋"/>
          <w:b/>
          <w:sz w:val="24"/>
          <w:szCs w:val="32"/>
        </w:rPr>
      </w:pPr>
      <w:r>
        <w:rPr>
          <w:rFonts w:hint="eastAsia" w:ascii="仿宋" w:hAnsi="仿宋" w:eastAsia="仿宋" w:cs="仿宋"/>
          <w:b/>
          <w:sz w:val="24"/>
          <w:szCs w:val="32"/>
        </w:rPr>
        <w:t>2.道路清扫车辆：</w:t>
      </w:r>
    </w:p>
    <w:p>
      <w:pPr>
        <w:numPr>
          <w:ilvl w:val="0"/>
          <w:numId w:val="0"/>
        </w:numPr>
        <w:spacing w:line="360" w:lineRule="auto"/>
        <w:ind w:firstLine="480" w:firstLineChars="200"/>
        <w:rPr>
          <w:rFonts w:hint="eastAsia" w:ascii="仿宋" w:hAnsi="仿宋" w:eastAsia="仿宋" w:cs="仿宋"/>
          <w:bCs/>
          <w:sz w:val="24"/>
          <w:szCs w:val="32"/>
        </w:rPr>
      </w:pPr>
      <w:r>
        <w:rPr>
          <w:rFonts w:hint="eastAsia" w:ascii="仿宋" w:hAnsi="仿宋" w:eastAsia="仿宋" w:cs="仿宋"/>
          <w:bCs/>
          <w:sz w:val="24"/>
          <w:szCs w:val="32"/>
        </w:rPr>
        <w:t>照明和信号装置应完好功能正常；车辆的警告、警示标识、操作指示标识应完好齐全；侧面防护、后下部防护应符合相关规定；连接件、紧固件应连接可靠，不得松脱；气路、水路和电路应排列整齐、夹持牢固，不应与运动件发生摩擦或干涉；盘形或辊形扫刷及吸嘴应设置升降装置且升降灵活。</w:t>
      </w:r>
    </w:p>
    <w:p>
      <w:pPr>
        <w:numPr>
          <w:ilvl w:val="0"/>
          <w:numId w:val="0"/>
        </w:numPr>
        <w:spacing w:line="360" w:lineRule="auto"/>
        <w:ind w:firstLine="482" w:firstLineChars="200"/>
        <w:rPr>
          <w:rFonts w:hint="eastAsia" w:ascii="仿宋" w:hAnsi="仿宋" w:eastAsia="仿宋" w:cs="仿宋"/>
          <w:b/>
          <w:sz w:val="24"/>
          <w:szCs w:val="32"/>
        </w:rPr>
      </w:pPr>
      <w:r>
        <w:rPr>
          <w:rFonts w:hint="eastAsia" w:ascii="仿宋" w:hAnsi="仿宋" w:eastAsia="仿宋" w:cs="仿宋"/>
          <w:b/>
          <w:sz w:val="24"/>
          <w:szCs w:val="32"/>
        </w:rPr>
        <w:t>3.生活垃圾运输车辆：</w:t>
      </w:r>
    </w:p>
    <w:p>
      <w:pPr>
        <w:spacing w:line="360" w:lineRule="auto"/>
        <w:ind w:firstLine="480" w:firstLineChars="200"/>
        <w:rPr>
          <w:rFonts w:hint="eastAsia" w:ascii="仿宋" w:hAnsi="仿宋" w:eastAsia="仿宋" w:cs="仿宋"/>
          <w:bCs/>
          <w:sz w:val="24"/>
          <w:szCs w:val="32"/>
        </w:rPr>
      </w:pPr>
      <w:r>
        <w:rPr>
          <w:rFonts w:hint="eastAsia" w:ascii="仿宋" w:hAnsi="仿宋" w:eastAsia="仿宋" w:cs="仿宋"/>
          <w:bCs/>
          <w:sz w:val="24"/>
          <w:szCs w:val="32"/>
        </w:rPr>
        <w:t>工作辅助照明灯光应完好功能正常；车辆的警告、警示标识、操作指示标识应完好齐全；车辆厢体锁定机构、料斗锁定机构应功能正常可靠；各关键部位的润滑系应保持工作正常。</w:t>
      </w:r>
    </w:p>
    <w:p>
      <w:pPr>
        <w:numPr>
          <w:ilvl w:val="0"/>
          <w:numId w:val="11"/>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防“跑冒滴漏”功能性检查要求</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1.道路及市容洒水、清洗作业车辆：</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（1）水罐</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水罐应设置溢流管和水位显示装置，组件应完好；水罐应无渗漏现象。</w:t>
      </w:r>
    </w:p>
    <w:p>
      <w:pPr>
        <w:numPr>
          <w:ilvl w:val="0"/>
          <w:numId w:val="12"/>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管道、阀门</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管道、阀门部件应完好，安装牢固，密封良好，无渗漏。</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2.罐式及容器收运车辆：</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（1）罐体</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罐体表面应平整，无明显凹凸不平现象；罐体各盖板应密封严实，无漏气、漏水和泄漏其他污物的现象；罐体排液口组件完好功能正常。</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3.道路清扫车辆：</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（1）垃圾箱</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垃圾箱完好，不得有漏污水、漏垃圾的现象。</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（2）液压系统</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液压系统组件应完好，不得有渗油、漏油想象。</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4.压缩式生活垃圾运输车辆：</w:t>
      </w:r>
    </w:p>
    <w:p>
      <w:pPr>
        <w:numPr>
          <w:ilvl w:val="0"/>
          <w:numId w:val="13"/>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厢体及各处排污口组件要求</w:t>
      </w:r>
    </w:p>
    <w:p>
      <w:pPr>
        <w:spacing w:line="360" w:lineRule="auto"/>
        <w:ind w:firstLine="480" w:firstLineChars="200"/>
        <w:rPr>
          <w:rFonts w:hint="eastAsia" w:ascii="仿宋" w:hAnsi="仿宋" w:eastAsia="仿宋" w:cs="仿宋"/>
          <w:b/>
          <w:bCs/>
          <w:sz w:val="24"/>
          <w:szCs w:val="32"/>
        </w:rPr>
      </w:pPr>
      <w:r>
        <w:rPr>
          <w:rFonts w:hint="eastAsia" w:ascii="仿宋" w:hAnsi="仿宋" w:eastAsia="仿宋" w:cs="仿宋"/>
          <w:sz w:val="24"/>
          <w:szCs w:val="32"/>
        </w:rPr>
        <w:t>车厢厢体应无任何滴漏现象；车厢前、中、后部排污口组件应完好，各类密封件应完好功能正常；车厢底部污水箱应无明显变形损坏，排污口组件、密封件应完好功能正常；车厢引水装置应完好功能正常。</w:t>
      </w:r>
    </w:p>
    <w:p>
      <w:pPr>
        <w:numPr>
          <w:ilvl w:val="0"/>
          <w:numId w:val="13"/>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料斗及各处排污口组件要求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料斗体应无任何滴漏现象；接污水槽应无明显变形、损坏，功能正常；料斗污水箱应无明显变形、损坏，排污口组件、密封件应完好功能正常；料斗与车厢结合面及密封胶条应无明显变形、损坏，密封功能正常；料斗后盖应无明显变形损坏，功能正常。</w:t>
      </w:r>
    </w:p>
    <w:p>
      <w:pPr>
        <w:numPr>
          <w:ilvl w:val="0"/>
          <w:numId w:val="13"/>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防滴漏密闭性能检测（必要时）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料斗体与车厢结合面、各排污口密封面疑似滴漏点与非滴漏点对比检测，差值≥30dB时为不合格。（检测设备：超声波测漏检测仪）</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橡胶密封件硬化、老化检测，与完好件对比检测的差值：密封胶条示值≥25HA时，密封胶垫示值≥15HA时为不合格。（检测设备：橡胶硬度检测仪（邵氏硬度））</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备注：</w:t>
      </w:r>
      <w:r>
        <w:rPr>
          <w:rFonts w:hint="eastAsia" w:ascii="仿宋" w:hAnsi="仿宋" w:eastAsia="仿宋" w:cs="仿宋"/>
          <w:sz w:val="24"/>
          <w:szCs w:val="32"/>
        </w:rPr>
        <w:t>受检单位对防滴漏密封性能检测有疑议时，启用上述设备检测。</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5.车厢对接式生活垃圾运输车辆（含勾臂式垃圾车）：</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（1）厢体及各处排污口组件要求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车厢厢体应无任何滴漏现象；车厢前、中、后部排污口组件应完好，各类密封件应完好功能正常；车厢引水装置应完好功能正常。</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（2）尾门、尾斗及各处排污口组件要求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尾门、尾斗体应无任何滴漏现象；排污口组件、密封件应完好功能正常；与车厢结合面及密封胶条应无明显变形、损坏，密封功能正常。</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（3）底盘防滴漏装置要求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底盘尾部污水箱应无明显变形损坏，排污口组件、密封件应完好功能正常；接污水槽应无明显变形、损坏，功能正常。</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（4）防滴漏密闭性能检测要求（必要时）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尾门、尾斗与车厢结合面、各排污口密封面疑似滴漏点与非滴漏点对比检测，差值≥30dB时为不合格。（检测设备：超声波测漏检测仪）</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橡胶密封件硬化、老化检测，与完好件对比检测的差值：密封胶条示值≥25HA时，密封胶垫示值≥15HA时为不合格。（检测设备：橡胶硬度检测仪（邵氏硬度））</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备注：</w:t>
      </w:r>
      <w:r>
        <w:rPr>
          <w:rFonts w:hint="eastAsia" w:ascii="仿宋" w:hAnsi="仿宋" w:eastAsia="仿宋" w:cs="仿宋"/>
          <w:sz w:val="24"/>
          <w:szCs w:val="32"/>
        </w:rPr>
        <w:t>受检单位对防滴漏密封性能检测有疑议时，启用上述设备检测。</w:t>
      </w:r>
    </w:p>
    <w:p>
      <w:pPr>
        <w:spacing w:line="360" w:lineRule="auto"/>
        <w:ind w:left="420" w:leftChars="200"/>
        <w:rPr>
          <w:rFonts w:hint="eastAsia" w:ascii="仿宋" w:hAnsi="仿宋" w:eastAsia="仿宋" w:cs="仿宋"/>
          <w:b/>
          <w:bCs/>
          <w:sz w:val="24"/>
          <w:szCs w:val="32"/>
        </w:rPr>
      </w:pPr>
      <w:r>
        <w:rPr>
          <w:rFonts w:hint="eastAsia" w:ascii="仿宋" w:hAnsi="仿宋" w:eastAsia="仿宋" w:cs="仿宋"/>
          <w:b/>
          <w:bCs/>
          <w:sz w:val="24"/>
          <w:szCs w:val="32"/>
        </w:rPr>
        <w:t>（五）专用功能运行状况检查要求</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1.道路及市容洒水、清洗作业车辆：</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水泵应能满负荷运转，无异响；喷嘴应保持水流畅通，喷洒均匀。</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2.罐式及容器收运车辆：</w:t>
      </w:r>
    </w:p>
    <w:p>
      <w:pPr>
        <w:numPr>
          <w:ilvl w:val="0"/>
          <w:numId w:val="0"/>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吸排系统吸排畅通，抽气真空装置应能满足吸排性能的要求，功能正常无异响。</w:t>
      </w:r>
    </w:p>
    <w:p>
      <w:pPr>
        <w:numPr>
          <w:ilvl w:val="0"/>
          <w:numId w:val="0"/>
        </w:num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3.道路清扫车辆：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纯吸式和吸扫式扫路车的风机或其他抽气装置应能在额定转速下持续运转，无异常振动和杂音；垃圾箱举升、下降平稳，不应有卡滞、抖动、撞击现象。</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4.压缩式生活垃圾运输车辆：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控制系统应工作正常（电控、气控、液压控制）；料斗应开合到位功能正常；推板应能运行到位功能正常；滑板、挖板应开合到位功能正常；提升架应运行平稳，提升到位，功能正常;料斗后盖应开合到位功能正常。</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5.车厢对接式生活垃圾运输车（含勾臂式垃圾车）：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控制系统应工作正常（电控、气控、液压控制）；尾门、尾斗应开合到位功能正常；推板应能运行到位功能正常。</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（六）</w:t>
      </w:r>
      <w:r>
        <w:rPr>
          <w:rFonts w:hint="eastAsia" w:ascii="仿宋" w:hAnsi="仿宋" w:eastAsia="仿宋" w:cs="仿宋"/>
          <w:b/>
          <w:sz w:val="24"/>
          <w:szCs w:val="32"/>
        </w:rPr>
        <w:t>评价结论要求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（1）环卫作业车辆和设备评价结论分为A、B、C、D四类，相关信息及检查结果统一录入档案。</w:t>
      </w:r>
    </w:p>
    <w:p>
      <w:pPr>
        <w:spacing w:line="360" w:lineRule="auto"/>
        <w:rPr>
          <w:rFonts w:hint="eastAsia" w:ascii="仿宋" w:hAnsi="仿宋" w:eastAsia="仿宋" w:cs="仿宋"/>
          <w:sz w:val="24"/>
          <w:szCs w:val="32"/>
        </w:rPr>
      </w:pPr>
      <w:r>
        <w:rPr>
          <w:rFonts w:hint="eastAsia" w:ascii="仿宋" w:hAnsi="仿宋" w:eastAsia="仿宋" w:cs="仿宋"/>
          <w:sz w:val="24"/>
          <w:szCs w:val="32"/>
        </w:rPr>
        <w:t>注：A类：车辆和设备容貌整洁，各项性能完好，各检查项目一次通过；B类：车辆和设备外观无大范围破损，符合专用功能基本要求，装载容器密闭（封），符合运输废弃物不外露、泄漏、遗撒的要求；C类：车辆和设备存在专用功能不符合相关技术规范，容貌不整洁，不符合运输废弃物不外露、泄漏、遗撒的要求；D类：车辆和设备作业功能或者密闭（封）性存在严重缺陷，不符合作业要求或者外观严重影响市容。</w:t>
      </w:r>
    </w:p>
    <w:p>
      <w:pPr>
        <w:spacing w:line="360" w:lineRule="auto"/>
        <w:ind w:firstLine="480" w:firstLineChars="200"/>
        <w:rPr>
          <w:rFonts w:hint="eastAsia" w:ascii="仿宋" w:hAnsi="仿宋" w:eastAsia="仿宋" w:cs="仿宋"/>
          <w:b/>
          <w:sz w:val="24"/>
          <w:szCs w:val="32"/>
        </w:rPr>
      </w:pPr>
      <w:r>
        <w:rPr>
          <w:rFonts w:hint="eastAsia" w:ascii="仿宋" w:hAnsi="仿宋" w:eastAsia="仿宋" w:cs="仿宋"/>
          <w:sz w:val="24"/>
          <w:szCs w:val="32"/>
        </w:rPr>
        <w:t>（2）评价结论A、B类为合格，C、D类为不合格。</w:t>
      </w:r>
    </w:p>
    <w:p>
      <w:pPr>
        <w:spacing w:line="360" w:lineRule="auto"/>
        <w:ind w:firstLine="480" w:firstLineChars="200"/>
        <w:rPr>
          <w:rFonts w:hint="eastAsia" w:ascii="仿宋" w:hAnsi="仿宋" w:eastAsia="仿宋" w:cs="仿宋"/>
          <w:b/>
          <w:sz w:val="24"/>
          <w:szCs w:val="32"/>
        </w:rPr>
      </w:pPr>
      <w:r>
        <w:rPr>
          <w:rFonts w:hint="eastAsia" w:ascii="仿宋" w:hAnsi="仿宋" w:eastAsia="仿宋" w:cs="仿宋"/>
          <w:bCs/>
          <w:sz w:val="24"/>
          <w:szCs w:val="32"/>
        </w:rPr>
        <w:t>（3）</w:t>
      </w:r>
      <w:r>
        <w:rPr>
          <w:rFonts w:hint="eastAsia" w:ascii="仿宋" w:hAnsi="仿宋" w:eastAsia="仿宋" w:cs="仿宋"/>
          <w:sz w:val="24"/>
          <w:szCs w:val="32"/>
        </w:rPr>
        <w:t>新车或初次进入广州市从事环卫作业运输的车辆在投入作业前应进行首次检查，检查评价结论应达到A类才能投入作业。</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bCs/>
          <w:sz w:val="24"/>
          <w:szCs w:val="32"/>
        </w:rPr>
        <w:t>（4）</w:t>
      </w:r>
      <w:r>
        <w:rPr>
          <w:rFonts w:hint="eastAsia" w:ascii="仿宋" w:hAnsi="仿宋" w:eastAsia="仿宋" w:cs="仿宋"/>
          <w:sz w:val="24"/>
          <w:szCs w:val="32"/>
        </w:rPr>
        <w:t>经检查后进入广州市从事生活垃圾运输的车辆和道路清扫车辆应每季度检查一次；各类道路及市容洒水、清洗作业车辆；各类罐式及容器收运车辆每年全部检查一次，检查评价结论应达到A类或B类才能投入作业。</w:t>
      </w:r>
    </w:p>
    <w:p>
      <w:pPr>
        <w:spacing w:line="360" w:lineRule="auto"/>
        <w:ind w:firstLine="482" w:firstLineChars="200"/>
        <w:rPr>
          <w:rFonts w:hint="eastAsia" w:ascii="仿宋" w:hAnsi="仿宋" w:eastAsia="仿宋" w:cs="仿宋"/>
          <w:b/>
          <w:sz w:val="24"/>
          <w:szCs w:val="32"/>
        </w:rPr>
      </w:pPr>
      <w:r>
        <w:rPr>
          <w:rFonts w:hint="eastAsia" w:ascii="仿宋" w:hAnsi="仿宋" w:eastAsia="仿宋" w:cs="仿宋"/>
          <w:b/>
          <w:bCs/>
          <w:sz w:val="24"/>
          <w:szCs w:val="32"/>
        </w:rPr>
        <w:t>（七）</w:t>
      </w:r>
      <w:r>
        <w:rPr>
          <w:rFonts w:hint="eastAsia" w:ascii="仿宋" w:hAnsi="仿宋" w:eastAsia="仿宋" w:cs="仿宋"/>
          <w:b/>
          <w:sz w:val="24"/>
          <w:szCs w:val="32"/>
        </w:rPr>
        <w:t>复检要求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bCs/>
          <w:sz w:val="24"/>
          <w:szCs w:val="32"/>
        </w:rPr>
        <w:t>（1）</w:t>
      </w:r>
      <w:r>
        <w:rPr>
          <w:rFonts w:hint="eastAsia" w:ascii="仿宋" w:hAnsi="仿宋" w:eastAsia="仿宋" w:cs="仿宋"/>
          <w:sz w:val="24"/>
          <w:szCs w:val="32"/>
        </w:rPr>
        <w:t>首次检查评价为B、C、D类车辆提出复检时，复检程序按照首次检测的要求进行。</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（2）季度、年度检查评价为C、D类的车辆，应在规定时间内完成整改并提交复检，复检项目除检测不合格项目外，应增设一至两项抽检项目，直至复检合格。</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四、作业过程抽查要求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环卫作业车辆和设备作业过程抽查是定期检查工作的补充，需建立常态化的动态检查工作机制，采取以下四种方式每周进行。</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设点设卡检查：</w:t>
      </w:r>
      <w:r>
        <w:rPr>
          <w:rFonts w:hint="eastAsia" w:ascii="仿宋" w:hAnsi="仿宋" w:eastAsia="仿宋" w:cs="仿宋"/>
          <w:sz w:val="24"/>
          <w:szCs w:val="32"/>
        </w:rPr>
        <w:t>主要检查进入兴丰垃圾填埋场、李坑热力资源电厂等市属生活垃圾终处理场所的车辆，不定期抽查进入区属生活垃圾终处理场所的车辆。重点检查车容车貌、污水滴漏、安全规范作业、防滴漏硬件设施等内容。</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随机抽查：</w:t>
      </w:r>
      <w:r>
        <w:rPr>
          <w:rFonts w:hint="eastAsia" w:ascii="仿宋" w:hAnsi="仿宋" w:eastAsia="仿宋" w:cs="仿宋"/>
          <w:sz w:val="24"/>
          <w:szCs w:val="32"/>
        </w:rPr>
        <w:t>主要抽查压缩站和终处理场（厂）作业车辆。重点检查车容车貌 、污水排放和安全作业等落实情况。</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路面巡查：</w:t>
      </w:r>
      <w:r>
        <w:rPr>
          <w:rFonts w:hint="eastAsia" w:ascii="仿宋" w:hAnsi="仿宋" w:eastAsia="仿宋" w:cs="仿宋"/>
          <w:sz w:val="24"/>
          <w:szCs w:val="32"/>
        </w:rPr>
        <w:t>对环卫作业车辆的主要途经路段开展路面巡查，现场拍照或摄像取证，重点查处无牌无证的环卫作业车辆和车体不洁、生活垃圾外露和污水滴漏等现象。重点检查车容车貌、污水滴漏和安全规范作业等内容。</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资料审查：</w:t>
      </w:r>
      <w:r>
        <w:rPr>
          <w:rFonts w:hint="eastAsia" w:ascii="仿宋" w:hAnsi="仿宋" w:eastAsia="仿宋" w:cs="仿宋"/>
          <w:sz w:val="24"/>
          <w:szCs w:val="32"/>
        </w:rPr>
        <w:t>主要是检查服务对象（受检单位）环卫作业车辆管理的规章制度、规范性文件、管控措施等。重点检查防滴漏管理日常管理、培训、台账、内部评价、纠正预防措施安全管理等资料。</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具体检查要求如下：</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（一）车容车貌检查要求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1．生活垃圾运输过程应保持车身整洁（无大面积污垢）。</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2．生活垃圾运输过程应保持厢体外无吊挂垃圾、杂物。</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3．生活垃圾运输过程料（尾）斗体无垃圾外露。</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（二）作业规范检查要求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1．作业车辆在垃圾压缩装填完成后，应当清理接水槽，保证接水槽干净无积存垃圾，尽量排尽压缩过程中产生的污水，清理车辆尾部周边的吊挂垃圾，冲洗干净车身。</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2．提升接污水槽，确保排污口全部关闭、阀门密闭无滴漏，厢体外无吊挂垃圾，车身整洁再上路。</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3．禁止在运输过程中，沿途丢弃、遗撒生活垃圾。</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4．车辆接污水槽及污水排放口保持关闭。</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5．禁止在运输过程中滴漏污水、垃圾飘散。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6．倾倒完垃圾后，车辆应在场（厂）内指定区域清理尾斗和排放垃圾污水；收起尾斗和排完污水后，通过垃圾车专用清洗装置洗车后方可离场（厂）。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7．严格遵守安全生产规定。</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（三）防滴漏硬件设施检查要求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作业单位应按照《广州市城市管理专用作业车辆和设备管理办法》（穗城管规字〔2018〕7号）对作业车辆和设备进行维护保养，保证防滴漏硬件设施无损坏，确保车容美观，车况良好。</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（四）车场车辆管理检查要求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1．车辆按规定位置有序停放、整齐排列。</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2．自觉维护车场环境卫生，保持车场干净整洁，无臭味扰民。</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3．维修、保养车辆完工后，必须保持车辆、维修场地洁净，并将车辆停放在指定位置。</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4．在作业单位非维修车位停放的车辆应无明显损坏。</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（五）防滴漏运行管理体系建设检查要求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1．垃圾运输车辆作业单位应建立车辆防滴漏整治的管理制度，并记录各项管理制度的落实情况。包括内部管理制度、日常巡查制度、作业控制流程、定期检查计划等。</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2．垃圾运输车辆作业单位应具有防滴漏整治的管理措施文件，包括车辆管养及整改记录，开展防滴漏整治相关人员培训并保存培训的相关记录等。</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垃圾运输车辆作业单位应建立完善的垃圾运输车辆管理档案和台账，包括车历档案；车辆驾驶员的录用、教育培训情况；车辆派遣、维修保养、出车登记、车辆报废、安全行车和事故处理等各项管理制度的落实情况；不同类型车辆的管理情况；车辆运输滴漏整改情况；车辆运输路线情况；车辆年度垃圾运输总量情况等。</w:t>
      </w:r>
    </w:p>
    <w:p>
      <w:pPr>
        <w:spacing w:line="360" w:lineRule="auto"/>
        <w:ind w:firstLine="482" w:firstLineChars="200"/>
        <w:rPr>
          <w:rFonts w:hint="eastAsia" w:ascii="仿宋" w:hAnsi="仿宋" w:eastAsia="仿宋" w:cs="仿宋"/>
          <w:b/>
          <w:bCs/>
          <w:sz w:val="24"/>
          <w:szCs w:val="32"/>
        </w:rPr>
      </w:pPr>
      <w:r>
        <w:rPr>
          <w:rFonts w:hint="eastAsia" w:ascii="仿宋" w:hAnsi="仿宋" w:eastAsia="仿宋" w:cs="仿宋"/>
          <w:b/>
          <w:bCs/>
          <w:sz w:val="24"/>
          <w:szCs w:val="32"/>
        </w:rPr>
        <w:t>（六）对未按规定参加定期检测和未在整改期限内复检的垃圾运输车辆进行重点检查，查漏补缺，配合市城市管理和综合执法局督促其作业单位强制整改。</w:t>
      </w:r>
    </w:p>
    <w:p>
      <w:pPr>
        <w:spacing w:line="360" w:lineRule="auto"/>
        <w:ind w:firstLine="482" w:firstLineChars="200"/>
        <w:rPr>
          <w:rFonts w:hint="eastAsia" w:ascii="仿宋" w:hAnsi="仿宋" w:eastAsia="仿宋" w:cs="仿宋"/>
          <w:sz w:val="24"/>
          <w:szCs w:val="32"/>
        </w:rPr>
      </w:pPr>
      <w:r>
        <w:rPr>
          <w:rFonts w:hint="eastAsia" w:ascii="仿宋" w:hAnsi="仿宋" w:eastAsia="仿宋" w:cs="仿宋"/>
          <w:b/>
          <w:bCs/>
          <w:sz w:val="24"/>
          <w:szCs w:val="32"/>
        </w:rPr>
        <w:t>（七）检查结果反馈要求</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1.对于发现的问题，配合市城市管理和综合执法局按照属地管理原则向所属区城管局发出《广州市城市管理和综合执法局生活垃圾运输作业督查督办事项通知书》。对于督查督办事项，区城管局须在5个工作日内督促作业单位落实整改措施，并书面向市城市管理和综合执法局（环卫处）书面反馈整改情况，由作业单位向中标单位申请复检。</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2.不按规范要求作业、车体不洁、垃圾外露或轻微滴漏污水的车辆，首次发现问题的车辆限期整改；未按时整改回复的，予以暂停IC卡7天处罚。同一车辆连续两个月内第二次发现同类问题暂停IC卡15天。</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3.运输过程中出现线状污水滴漏的，暂停IC卡7天，并限期整改。同一车辆连续三个月内第三次出现线状污水滴漏的，提供对应检测车辆的历次台账等证明材料配合市城市管理和综合执法局（环卫处）注销该车IC卡，作全市通报批评。</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4.不配合检查的车辆产品检验（路检中冲卡），暂停IC卡15天，限期整改并作出书面检讨，提供对应不配合检查的车辆的台账等证明材料配合市城市管理和综合执法局（环卫处），作全市通报批评。</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5.因暂停IC卡限期整改的车辆，完成整改后由作业单位向中标单位申请复检，复检合格的车辆经市城市管理和综合执法局（环卫处）批准后方可恢复IC卡。</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6.每月提供动态检查情况报告配合市城市管理和综合执法局（环卫处）在《广州市环境卫生作业质量监测情况通报》上进行通报,通报结果将作为依据纳入本年度城市管理检查评价成绩。</w:t>
      </w:r>
    </w:p>
    <w:p>
      <w:pPr>
        <w:ind w:firstLine="560" w:firstLineChars="200"/>
        <w:rPr>
          <w:rFonts w:ascii="宋体" w:hAnsi="宋体" w:eastAsia="宋体" w:cs="仿宋_GB2312"/>
          <w:sz w:val="28"/>
          <w:szCs w:val="28"/>
        </w:rPr>
        <w:sectPr>
          <w:pgSz w:w="11906" w:h="16838"/>
          <w:pgMar w:top="2041" w:right="1474" w:bottom="1928" w:left="1588" w:header="851" w:footer="992" w:gutter="0"/>
          <w:cols w:space="720" w:num="1"/>
          <w:docGrid w:linePitch="634" w:charSpace="-4740"/>
        </w:sectPr>
      </w:pPr>
    </w:p>
    <w:p>
      <w:pPr>
        <w:rPr>
          <w:rFonts w:hint="eastAsia" w:ascii="仿宋" w:hAnsi="仿宋" w:eastAsia="仿宋" w:cs="仿宋"/>
          <w:color w:val="auto"/>
          <w:sz w:val="24"/>
          <w:szCs w:val="24"/>
          <w:lang w:val="en-US" w:eastAsia="zh-CN"/>
        </w:rPr>
      </w:pP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r>
        <w:rPr>
          <w:rFonts w:hint="eastAsia" w:cs="宋体"/>
          <w:b/>
          <w:bCs/>
          <w:color w:val="auto"/>
          <w:sz w:val="28"/>
          <w:szCs w:val="28"/>
          <w:lang w:val="en-US" w:eastAsia="zh-CN"/>
        </w:rPr>
        <w:t>4</w:t>
      </w:r>
      <w:r>
        <w:rPr>
          <w:rFonts w:hint="eastAsia" w:ascii="宋体" w:hAnsi="宋体" w:eastAsia="宋体" w:cs="宋体"/>
          <w:b/>
          <w:bCs/>
          <w:color w:val="auto"/>
          <w:sz w:val="28"/>
          <w:szCs w:val="28"/>
          <w:lang w:val="en-US" w:eastAsia="zh-CN"/>
        </w:rPr>
        <w:t>：《广州市环卫安全生产管理规范（试行）》</w:t>
      </w:r>
    </w:p>
    <w:p>
      <w:pPr>
        <w:snapToGrid w:val="0"/>
        <w:spacing w:line="360" w:lineRule="auto"/>
        <w:jc w:val="center"/>
        <w:rPr>
          <w:rFonts w:hint="eastAsia" w:ascii="黑体" w:hAnsi="黑体" w:eastAsia="黑体" w:cs="黑体"/>
          <w:b w:val="0"/>
          <w:bCs w:val="0"/>
          <w:sz w:val="28"/>
          <w:szCs w:val="28"/>
          <w:lang w:val="en-US" w:eastAsia="zh-CN"/>
        </w:rPr>
      </w:pPr>
    </w:p>
    <w:p>
      <w:pPr>
        <w:snapToGrid w:val="0"/>
        <w:spacing w:line="360" w:lineRule="auto"/>
        <w:jc w:val="center"/>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广州市环卫安全生产管理规范（试行）</w:t>
      </w:r>
    </w:p>
    <w:p>
      <w:pPr>
        <w:shd w:val="clear"/>
        <w:snapToGrid w:val="0"/>
        <w:spacing w:line="360" w:lineRule="auto"/>
        <w:jc w:val="center"/>
        <w:rPr>
          <w:rFonts w:hint="eastAsia"/>
        </w:rPr>
      </w:pPr>
      <w:r>
        <w:rPr>
          <w:rFonts w:hint="eastAsia" w:ascii="仿宋" w:hAnsi="仿宋" w:eastAsia="仿宋" w:cs="仿宋"/>
          <w:b/>
          <w:bCs/>
          <w:sz w:val="24"/>
          <w:szCs w:val="24"/>
          <w:lang w:val="en-US" w:eastAsia="zh-CN"/>
        </w:rPr>
        <w:t xml:space="preserve">第一章 </w:t>
      </w:r>
      <w:r>
        <w:rPr>
          <w:rFonts w:hint="eastAsia" w:ascii="仿宋" w:hAnsi="仿宋" w:eastAsia="仿宋" w:cs="仿宋"/>
          <w:b/>
          <w:bCs/>
          <w:sz w:val="24"/>
          <w:szCs w:val="24"/>
        </w:rPr>
        <w:t>总则</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第一条【立法目的】为了加强城市环境卫生作业安全，明确安全生产责任，防止和减少</w:t>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"https://baike.baidu.com/item/%E7%94%9F%E4%BA%A7%E5%AE%89%E5%85%A8%E4%BA%8B%E6%95%85/7330952" \t "_blank" </w:instrText>
      </w:r>
      <w:r>
        <w:rPr>
          <w:rFonts w:hint="eastAsia" w:ascii="仿宋" w:hAnsi="仿宋" w:eastAsia="仿宋" w:cs="仿宋"/>
          <w:sz w:val="24"/>
          <w:szCs w:val="32"/>
        </w:rPr>
        <w:fldChar w:fldCharType="separate"/>
      </w:r>
      <w:r>
        <w:rPr>
          <w:rFonts w:hint="eastAsia" w:ascii="仿宋" w:hAnsi="仿宋" w:eastAsia="仿宋" w:cs="仿宋"/>
          <w:sz w:val="24"/>
          <w:szCs w:val="32"/>
        </w:rPr>
        <w:t>生产安全事故</w:t>
      </w:r>
      <w:r>
        <w:rPr>
          <w:rFonts w:hint="eastAsia" w:ascii="仿宋" w:hAnsi="仿宋" w:eastAsia="仿宋" w:cs="仿宋"/>
          <w:sz w:val="24"/>
          <w:szCs w:val="32"/>
        </w:rPr>
        <w:fldChar w:fldCharType="end"/>
      </w:r>
      <w:r>
        <w:rPr>
          <w:rFonts w:hint="eastAsia" w:ascii="仿宋" w:hAnsi="仿宋" w:eastAsia="仿宋" w:cs="仿宋"/>
          <w:sz w:val="24"/>
          <w:szCs w:val="32"/>
        </w:rPr>
        <w:t>发生，促进城市环境卫生事业安全健康发展，根据《广东省安全生产条例》、《广州市安全生产管理规定》等有关法律法规，结合本市实际，制定本规范。</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第二条 【适用范围】本规范适用于本市从事生活垃圾清扫、收集、运输、处置的环卫作业单位的安全生产及监督管理。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第三条 【基本原则】环境卫生作业必须贯彻“安全第一、预防为主、综合治理”的方针，坚持统一领导、分级管理、公众参与、社会监督相结合的原则。</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第四条 【安全生产合法合规】环卫作业单位必须遵守安全生产法律、法规和本规定，保证环境卫生作业安全生产，依法承担环境卫生作业安全生产责任。</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第二章 安全生产目标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第五条 【安全生产目标制定】环卫作业单位应当制定文件化的年度安全生产目标与指标，并纳入单位总体生产经营目标。</w:t>
      </w:r>
    </w:p>
    <w:p>
      <w:pPr>
        <w:spacing w:line="360" w:lineRule="auto"/>
        <w:ind w:firstLine="480" w:firstLineChars="200"/>
        <w:rPr>
          <w:rFonts w:hint="eastAsia" w:ascii="仿宋" w:hAnsi="仿宋" w:eastAsia="仿宋" w:cs="仿宋"/>
          <w:b w:val="0"/>
          <w:bCs w:val="0"/>
          <w:sz w:val="24"/>
          <w:szCs w:val="32"/>
        </w:rPr>
      </w:pPr>
      <w:r>
        <w:rPr>
          <w:rFonts w:hint="eastAsia" w:ascii="仿宋" w:hAnsi="仿宋" w:eastAsia="仿宋" w:cs="仿宋"/>
          <w:sz w:val="24"/>
          <w:szCs w:val="32"/>
        </w:rPr>
        <w:t>第六条 【安全生产目标实施】环卫作业单位应当根据所属生产经营单位和部门在安全生产中的职能，分解年度安全生产目标，逐级签订年度安全生产责任书，并制定实施计划和考核办法，对安全生产目标和指标实施计划的执行情况进行检查，并保存有</w:t>
      </w:r>
      <w:r>
        <w:rPr>
          <w:rFonts w:hint="eastAsia" w:ascii="仿宋" w:hAnsi="仿宋" w:eastAsia="仿宋" w:cs="仿宋"/>
          <w:b w:val="0"/>
          <w:bCs w:val="0"/>
          <w:sz w:val="24"/>
          <w:szCs w:val="32"/>
        </w:rPr>
        <w:t>关检查记录资料。</w:t>
      </w:r>
    </w:p>
    <w:p>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sz w:val="24"/>
          <w:szCs w:val="32"/>
        </w:rPr>
        <w:t>第七条 【安全生产目标考核】环卫作业单位应当定期对安全生产目标、指标实施情</w:t>
      </w:r>
      <w:r>
        <w:rPr>
          <w:rFonts w:hint="eastAsia" w:ascii="仿宋" w:hAnsi="仿宋" w:eastAsia="仿宋" w:cs="仿宋"/>
          <w:b w:val="0"/>
          <w:bCs w:val="0"/>
          <w:sz w:val="24"/>
          <w:szCs w:val="24"/>
          <w:lang w:val="en-US" w:eastAsia="zh-CN"/>
        </w:rPr>
        <w:t>况进行评估和考核，并结合实际及时进行调整</w:t>
      </w:r>
      <w:r>
        <w:rPr>
          <w:rFonts w:hint="eastAsia" w:ascii="仿宋" w:hAnsi="仿宋" w:eastAsia="仿宋" w:cs="仿宋"/>
          <w:b/>
          <w:bCs/>
          <w:sz w:val="24"/>
          <w:szCs w:val="24"/>
          <w:lang w:val="en-US" w:eastAsia="zh-CN"/>
        </w:rPr>
        <w:t>。</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第三章 组织机构和职责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第八条 【安全生产机构设置和管理人员责任】环卫作业单位应当成立安全生产委员会或按照国家有关规定配备专职安全生产管理人员。</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环卫作业单位的安全生产委员会或者专职安全生产管理人员履行下列职责：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(一)组织或者参与拟订安全生产规章制度、操作规程和生产安全事故应急预案；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(二)组织或者参与安全生产教育和培训，如实记录安全生产教育和培训情况；</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(三)督促落实重大危险源的安全管理措施；</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(四)组织或者参与应急演练；</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(五)检查安全生产状况，及时排查事故隐患，提出改进安全生产管理的建议；</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(六)制止和纠正违规指挥、强令冒险作业、违反操作规程的行为；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(七)督促落实安全生产整改措施；</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(八)督促本单位其他机构和人员履行安全生产职责，组织或者参与安全生产考核，提出奖惩意见；</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(九)依法组织或者参与生产安全事故调查处理。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第九条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生产责任制】环卫作业单位应建立健全安全生产责任制，安全生产责任制应当明确主要负责人、其他负责人、各职能部门负责人、车间和班组负责人、其他从业人员等全体人员的安全生产责任范围和考核标准等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环卫作业单位的各岗位人员签署《安全生产责任承诺书》，并在本单位醒目位置张贴公示。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环卫作业单位应当每年对安全生产责任制落实情况进行考核，考核结果作为安全生产奖励和惩罚的依据。</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第十条 【安全生产责任人职责】环卫作业单位主要负责人对本单位的安全生产工作全面负责，履行下列职责：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(一)建立健全本单位安全生产责任制;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(二)组织制定本单位安全生产管理制度和操作规程;</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(三)任命或者提请任命符合条件的分管安全生产的负责人、技术负责人;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(四)组织制定并实施本单位安全生产教育培训计划;</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(五)保证本单位安全生产投入的有效实施;</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(六)组织实施职业病防治工作;</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(七)定期研究和督促检查本单位的安全生产工作，及时消除生产安全事故隐患;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(八)定期向职工(代表)大会、股东大会、董事会报告安全生产情况，接受工会、从业人员、股东的监督;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(九)组织制定并实施本单位生产安全和职业危害事故应急救援预案;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(十)及时、如实报告生产安全事故;</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(十一)其他安全生产管理职责。</w:t>
      </w:r>
    </w:p>
    <w:p>
      <w:pPr>
        <w:spacing w:line="360" w:lineRule="auto"/>
        <w:rPr>
          <w:rFonts w:hint="eastAsia" w:ascii="仿宋" w:hAnsi="仿宋" w:eastAsia="仿宋" w:cs="仿宋"/>
          <w:sz w:val="24"/>
          <w:szCs w:val="32"/>
        </w:rPr>
      </w:pPr>
      <w:r>
        <w:rPr>
          <w:rFonts w:hint="eastAsia" w:ascii="仿宋" w:hAnsi="仿宋" w:eastAsia="仿宋" w:cs="仿宋"/>
          <w:sz w:val="24"/>
          <w:szCs w:val="32"/>
        </w:rPr>
        <w:t>第十一条 【全员参与】环卫作业单位应为全员参与安全生产和职业卫生工作创造必要的条件，建立激励约束机制，鼓励从业人员积极建言献策。</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第四章安全投入</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第十二条 【安全生产费用提取】环卫作业单位应当按照规定标准提取安全生产费用，专门用于完善和改进企业或者项目安全生产条件的资金。</w:t>
      </w:r>
    </w:p>
    <w:p>
      <w:pPr>
        <w:spacing w:line="360" w:lineRule="auto"/>
        <w:ind w:left="480" w:hanging="480" w:hangingChars="200"/>
        <w:rPr>
          <w:rFonts w:hint="eastAsia" w:ascii="仿宋" w:hAnsi="仿宋" w:eastAsia="仿宋" w:cs="仿宋"/>
          <w:sz w:val="24"/>
          <w:szCs w:val="32"/>
        </w:rPr>
      </w:pPr>
      <w:r>
        <w:rPr>
          <w:rFonts w:hint="eastAsia" w:ascii="仿宋" w:hAnsi="仿宋" w:eastAsia="仿宋" w:cs="仿宋"/>
          <w:sz w:val="24"/>
          <w:szCs w:val="32"/>
        </w:rPr>
        <w:t>安全生产费应当按照“企业提取、政府监管、确保需要、规范使用”的原则进行管理。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第十三条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【安全生产费用使用】环卫作业单位提取的安全生产费用应当在以下范围内使用：</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(一)购置、改造、维护、检验检测安全设施设备;</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(二)配备、维护、保养应急救援器材、设备和物资，制定、评审和演练应急预案;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(三)排查、治理生产安全事故隐患;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(四)评估、监控、整改重大危险源;</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(五)购置职业危害防治和劳动防护用品;</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(六)从业人员职业健康检查;</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(七)安全生产宣传、教育和培训;</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(八)推广应用安全生产新技术、新标准、新工艺、新装备;</w:t>
      </w:r>
    </w:p>
    <w:p>
      <w:pPr>
        <w:spacing w:line="360" w:lineRule="auto"/>
        <w:ind w:left="239" w:leftChars="114" w:firstLine="240" w:firstLineChars="100"/>
        <w:rPr>
          <w:rFonts w:hint="eastAsia" w:ascii="仿宋" w:hAnsi="仿宋" w:eastAsia="仿宋" w:cs="仿宋"/>
          <w:sz w:val="24"/>
          <w:szCs w:val="32"/>
        </w:rPr>
      </w:pPr>
      <w:r>
        <w:rPr>
          <w:rFonts w:hint="eastAsia" w:ascii="仿宋" w:hAnsi="仿宋" w:eastAsia="仿宋" w:cs="仿宋"/>
          <w:sz w:val="24"/>
          <w:szCs w:val="32"/>
        </w:rPr>
        <w:t>(九)其他改善安全生产条件的支出。</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第十四条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【安全生产费用核算】 环卫作业单位提取的安全生产费用应当专户核算，按规定范围安排使用，不得挤占、挪用。年度结余资金结转下年度使用，当年计提安全费用不足的，超出部分按正常成本费用渠道列支。</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第十五条 【安全生产责任保险】环卫作业单位应当按照国家有关规定参加安全生产责任保险。</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安全生产责任保险由环卫作业单位投保，保险费根据投保的环卫作业单位直接从事生产作业人员的数量和岗位风险等情况确定，不得以任何方式摊派给从业人员个人。</w:t>
      </w:r>
    </w:p>
    <w:p>
      <w:pPr>
        <w:spacing w:line="360" w:lineRule="auto"/>
        <w:rPr>
          <w:rFonts w:hint="eastAsia" w:ascii="仿宋" w:hAnsi="仿宋" w:eastAsia="仿宋" w:cs="仿宋"/>
          <w:sz w:val="24"/>
          <w:szCs w:val="32"/>
        </w:rPr>
      </w:pPr>
      <w:r>
        <w:rPr>
          <w:rFonts w:hint="eastAsia" w:ascii="仿宋" w:hAnsi="仿宋" w:eastAsia="仿宋" w:cs="仿宋"/>
          <w:sz w:val="24"/>
          <w:szCs w:val="32"/>
        </w:rPr>
        <w:t>环卫作业单位可以根据自身需要增加保险金额，提高应对事故风险能力。</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第五章 法律法规与安全管理制度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第十六条 【法规标准识别】环卫作业单位应定期识别和获取适用的安全生产法律法规、环卫行业作业标准规范及其他要求，并及时传达给相关从业人员，确保相关要求落实到位。</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第十七条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【安全生产规章制度】环卫作业单位的主要负责人应当组织制定下列安全生产规章制度：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(一)安全生产教育和培训制度；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(二)安全生产检查制度；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(三)生产安全事故隐患排查和治理制度；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(四)具有较大危险因素的生产经营场所、设备和设施的安全管理制度；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(五)安全生产资金投入或者安全生产费用提取、使用和管理制度；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(六)危险作业管理制度；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(七)特种作业人员管理制度；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(八)劳动防护用品配备和使用制度；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(九)安全生产奖励和惩罚制度；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(十)生产安全事故报告和调查处理制度；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(十一)法律、法规、规章规定的其他安全生产制度。</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第十八条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【安全操作规程】环卫作业单位应当依照法律、法规、规章和国家标准、行业标准，结合工艺流程、技术设备特点以及原辅料危险性等情况，制定安全操作规程。</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安全操作规程应当覆盖本单位生产经营活动的全过程。</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安全操作规程应当明确安全操作要求、作业环境要求、作业防护要求、禁止事项、紧急情况现场处置措施等内容。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 xml:space="preserve">第十九条 </w:t>
      </w:r>
      <w:r>
        <w:rPr>
          <w:rFonts w:hint="eastAsia" w:ascii="仿宋" w:hAnsi="仿宋" w:eastAsia="仿宋" w:cs="仿宋"/>
          <w:sz w:val="24"/>
          <w:szCs w:val="32"/>
        </w:rPr>
        <w:t>【安全生产风险公告】环卫作业单位应当建立完善安全风险公告、岗位安全风险确认和安全操作“明白卡”制度，落实安全风险公告警示措施。</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 xml:space="preserve">第二十条 </w:t>
      </w:r>
      <w:r>
        <w:rPr>
          <w:rFonts w:hint="eastAsia" w:ascii="仿宋" w:hAnsi="仿宋" w:eastAsia="仿宋" w:cs="仿宋"/>
          <w:sz w:val="24"/>
          <w:szCs w:val="32"/>
        </w:rPr>
        <w:t>【台账管理】环卫作业单位应当根据《安全生产法》等法律、法规相关规定，认真梳理，制定了一套涵盖企业情况、安全生产会议、培训教育、特种设备、安全检查、隐患排查、安全事故、安全生产奖惩、劳保用品、消防安全、安全值班、职业危害、安全投入、应急管理等14项内容为主的安全生产基础台账，结合实际，按照要求，逐一填写。</w:t>
      </w:r>
    </w:p>
    <w:p>
      <w:pPr>
        <w:spacing w:line="360" w:lineRule="auto"/>
        <w:rPr>
          <w:rFonts w:hint="eastAsia" w:ascii="仿宋" w:hAnsi="仿宋" w:eastAsia="仿宋" w:cs="仿宋"/>
          <w:sz w:val="24"/>
          <w:szCs w:val="32"/>
        </w:rPr>
      </w:pPr>
      <w:r>
        <w:rPr>
          <w:rFonts w:hint="eastAsia" w:ascii="仿宋" w:hAnsi="仿宋" w:eastAsia="仿宋" w:cs="仿宋"/>
          <w:sz w:val="24"/>
          <w:szCs w:val="32"/>
        </w:rPr>
        <w:t>环卫作业单位应当组织填写人员进行培训，指导填写人员按照规范要求填全所有内容，确保各企业在填写台账时不出现缺项漏项情况。</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val="en-US" w:eastAsia="zh-CN"/>
        </w:rPr>
        <w:t xml:space="preserve">第二十一条 </w:t>
      </w:r>
      <w:r>
        <w:rPr>
          <w:rFonts w:hint="eastAsia" w:ascii="仿宋" w:hAnsi="仿宋" w:eastAsia="仿宋" w:cs="仿宋"/>
          <w:sz w:val="24"/>
          <w:szCs w:val="32"/>
        </w:rPr>
        <w:t>【文档管理】环卫作业单位应当建立文件和档案的管理制度，明确责任部门、人员、权限及各类安全生产档案及保存要求等，定期进行评估和修订。</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第六章 教育培训</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第二十二条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【教育培训管理】环卫作业单位应当建立安全教育培训的管理制度，确定安全教育培训主管部门，定期识别安全教育培训需求，制定各类人员的培训计划。</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第二十三条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定期培训保障】每年组织不少于2次的全员教育培训，对关键操作岗位员工要开展每月不少于一次的教育培训，保证从业人员具备必要的安全生产知识，熟悉本岗位安全操作规程，掌握安全操作技能，了解事故应急处理措施。未经安全生产教育和培训合格的从业人员，不得上岗作业；企业的特种作业人员必须按照国家有关规定经专门的安全作业培训，取得相应资格，方可上岗作业。</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单位的主要负责人和安全生产管理人员初次安全培训时间不应少于32学时，每年再培训时间不应少于12学时。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新上岗的从业人员应进行“单位（厂）、部门（车间）、基层（班组）”三级安全培训教育，岗前安全培训时间不应少于24学时，每年再培训时间不应少于8学时。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工作场所存在职业病危害因素分类目录所列职业病危害因素的单位，其主要负责人和职业卫生管理人员初次职业卫生培训不应少于16学时，每年继续教育不应少于8学时。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工作场所存在职业病危害因素分类目录所列职业病危害因素的单位，接触职业病危害的从业人员初次职业卫生培训不应少于8学时，每年继续教育不应少于4学时。</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单位党委（支部）会应每半年研究一次安全生产工作，董事会应每季度研究一次。企业总经理每月召开不少于一次各部门负责人参加的安全生产例会。企业主要负责人每季度不少于一次深入作业现场检查安全生产工作。</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生产经营单位可以自行组织安全生产教育和培训，也可以委托培训机构进行安全生产教育和培训。</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第二十四条 【岗前培训保障】从业人员上岗前安全生产教育和培训应当包括：</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（一）本单位安全生产情况和安全生产基本知识；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（二）本单位安全生产规章制度和劳动纪律；</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（三）从业人员安全生产权利和义务；</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（四）工作环境和危险因素；</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（五）安全操作规程；</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（六）自救互救方法和现场紧急情况的处理；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（七）预防事故和职业病危害的措施以及应注意的安全事项；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（八）其他需要培训的安全生产内容。</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第二十五条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【安全文化建设】环卫作业单位应开展安全文化建设，确立本企业的安全生产和职业病危害防治理念及行为准则，并教育、引导全体人员贯彻执行。</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第七章 安全生产基础设施管理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第二十六条 【设备设施管理】环卫作业单位新建、改建、扩建项目的安全设施、职业病防护设施应与建设项目主体工程同时设计、同时施工、同时投入生产和使用。按规定进行消防设计审核、消防验收和备案等工作。</w:t>
      </w:r>
    </w:p>
    <w:p>
      <w:pPr>
        <w:spacing w:line="360" w:lineRule="auto"/>
        <w:rPr>
          <w:rFonts w:hint="eastAsia" w:ascii="仿宋" w:hAnsi="仿宋" w:eastAsia="仿宋" w:cs="仿宋"/>
          <w:sz w:val="24"/>
          <w:szCs w:val="32"/>
        </w:rPr>
      </w:pPr>
      <w:r>
        <w:rPr>
          <w:rFonts w:hint="eastAsia" w:ascii="仿宋" w:hAnsi="仿宋" w:eastAsia="仿宋" w:cs="仿宋"/>
          <w:sz w:val="24"/>
          <w:szCs w:val="32"/>
        </w:rPr>
        <w:t>生产设施建设中的变更应严格执行变更管理制度，履行变更程序，并对变更全过程进行风险管理。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第二十七条 【人员管理】环卫作业单位应依法合理进行生产作业组织和管理，加强对从业人员作业行为的安全管理，对设备设施、工艺技术以及从业人员作业行为等进行安全风险辨识，采取相应的措施，控制作业行为安全风险。</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第二十八条 【检维修】环卫作业单位应建立设备设施检维修管理制度，制定综合检维修计划，加强日常检维修和定期检维修管理，落实"五定"原则，即定检维修方案、定检维修人员、定安全措施、定检维修质量、定检维修进度，并做好记录。</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第二十九条 【拆除与报废】环卫作业单位应建立设备设施验收和设备设施拆除、报废的管理制度，对拆除作业进行风险评价，制定拆除计划或方案，凡拆除的容器、设备和管道内仍存有危险化学品的，应先清洗干净，验收合格后方可报废。</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第八章作业过程安全</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场所安全保障】环卫作业单位应当定期对作业场所、设备和岗位进行危害辨识，开展风险评估，确定风险等级，采取相应的风险管控措施；按照国家和本市有关规定开展生产安全事故隐患排查治理；发现直接危及人身安全的紧急情况，现场负责人有权停止作业、撤离人员。</w:t>
      </w:r>
    </w:p>
    <w:p>
      <w:pPr>
        <w:spacing w:line="360" w:lineRule="auto"/>
        <w:rPr>
          <w:rFonts w:hint="eastAsia" w:ascii="仿宋" w:hAnsi="仿宋" w:eastAsia="仿宋" w:cs="仿宋"/>
          <w:sz w:val="24"/>
          <w:szCs w:val="32"/>
        </w:rPr>
      </w:pPr>
      <w:r>
        <w:rPr>
          <w:rFonts w:hint="eastAsia" w:ascii="仿宋" w:hAnsi="仿宋" w:eastAsia="仿宋" w:cs="仿宋"/>
          <w:sz w:val="24"/>
          <w:szCs w:val="32"/>
        </w:rPr>
        <w:t>风险等级较低的场所应当至少排查治理用火、用电、用气等方面的生产安全事故隐患。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第三十一条 【警示标志】环卫作业单位应按照有关规定和工作场所的安全风险特点，在有重大危险源、较大危险因素和严重职业病危害因素的工作场所，设置明显的、符合有关规定要求的安全警示标志和职业病危害书等标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第三十二条 【相关方】环卫作业单位应建立承包商、供应商等安全管理制度，将承包商、供应商等相关方的安全生产和职业卫生纳入内部管理。</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第九章 隐患排查与治理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第三十三条 【隐患排查】环卫作业单位应建立隐患排查治理制度，逐渐建立并落实从主要负责人到每位从业人员的隐患排查治理和防控责任制。并按照有关规定组织开展隐患排查治理工作，及时发现并消除隐患，实行隐患闭环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第三十四条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【隐患治理】环卫作业单位应根据隐患排查的结果，制定隐患治理方案，对隐患及时进行治理。</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第十章 职业健康</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第三十五条 【职业健康】环卫作业单位应建立职业健康的管理制度，建立、健全职业卫生档案和健康监护档案。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第三十六条 【职业危害告知】环卫作业单位应当应将保障从业人员劳动安全和工作过程中可能产生的职业危害及其后果、职业危害防护措施、待遇等如实以书面形式告知从业人员，并在劳动合同中写明。</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第三十七条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【劳动防护保障】环卫作业单位应当定期为从业人员无偿提供和更新符合国家标准或者行业标准的劳动防护用品，督促、教育从业人员正确佩戴、使用，并如实记录购买和发放劳动防护用品的情况。</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劳动防护用品不得以货币或者其他物品替代。</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第十一章 应急救援</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第三十八条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【应急救援预案】环卫作业单位应当根据环卫作业的特点制定生产安全事故应急救援预案，并定期组织演练。</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应急救援预案应当包括紧急救援的组织机构、人员配备、物资准备、人员财产救援措施、事故分析与报告等方面的方案。</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第三十九条 【应急设施】环卫作业单位应当按应急预案的要求，建立应急设施，配备应急装备，储备应急物资。</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应急设施、装备和物资进行经常性的检查、维护、保养，确保其完好可靠。</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第四十条 【应急演练】环卫作业单位每年至少组织一次综合应急预案演练或者专项应急预案演练，每半年至少组织一次现场处置方案演练。对应急演练的效果进行评估。</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第四十一条 【事故救援】环卫作业单位负责人接到事故报告后，应当立即启动事故处理应急预案，根据具体情况采取有效措施，组织抢救，防止事故扩大，减少人员伤亡和财产损失。</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第十二章 事故报告及调查处理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第四十二条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【事故报告】环卫作业单位应建立事故报告程序，明确事故内外部报告的责任人、时限、内容等，并教育、指导从业人员严格按照有关规定的程序报告发生的生产安全事故。</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第四十三条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事故调查和处理】环卫作业单位应建立内部事故调査和处理制度，按照有关规定、行业标准和国际通行做法，将造成人员伤亡(轻伤、重伤、死亡等人身伤害和急性中毒)和财产损失的事故纳入事故调査和处理范畴。</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第十三章 持续改进</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第四十四条 【绩效评定】环卫作业单位应当建立安全生产标准化绩效评定的管理制度，明确对安全生产目标完成情况、现场安全状况情况进行评估。</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第四十五条 【安全检查】根据相关法律、法规的规定，环卫作业单位安全生产检查采取单位自查与机构抽检模式相结合模式。</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每年度一月第二至第三周就上一度的安全工作进行单位自查。由环卫作业单位主要负责人任组长，各相关职能部门以及工会参加的考评小组，按照本标准的要求进行自评，形成自评报告并向市城市管理行政主管部门提交自评报告。</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每年度一月第四周至二月第一周就上一度的安全工作进行机构抽检。环卫作业单位提交自评报告后，市城市管理行政主管部门进行抽签、制作抽检名单，交由市城市管理行政主管部门认可的评审机构进行评审。评审机构应当严格按照本标准的要求，采用资料核对、抽查考核、人员询问和现场查证的方法进行评审，并编制评审报告。</w:t>
      </w:r>
    </w:p>
    <w:p>
      <w:pPr>
        <w:spacing w:line="360" w:lineRule="auto"/>
        <w:rPr>
          <w:rFonts w:hint="eastAsia" w:ascii="仿宋" w:hAnsi="仿宋" w:eastAsia="仿宋" w:cs="仿宋"/>
          <w:sz w:val="24"/>
          <w:szCs w:val="32"/>
        </w:rPr>
      </w:pPr>
      <w:r>
        <w:rPr>
          <w:rFonts w:hint="eastAsia" w:ascii="仿宋" w:hAnsi="仿宋" w:eastAsia="仿宋" w:cs="仿宋"/>
          <w:sz w:val="24"/>
          <w:szCs w:val="32"/>
        </w:rPr>
        <w:t>检查标准参照《企业安全生产标准化基本规范》的要求进行。</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第四十六条 【持续改进】环卫作业单位根据评估发现安全管理过程中的责任履行、系统运行、检查监控、隐患整改、考评考核等方面存在的问题，应当进行整改。</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第十四章 监督管理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第四十七条 【安全生产的监督管理】市城市管理行政主管部门统筹负责本市环卫作业单位安全生产的监督管理工作。</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第四十八条 【市主管部门安全生产监督管理职责】市城市管理行政主管部门安全生产的监督管理主要职责是：</w:t>
      </w:r>
    </w:p>
    <w:p>
      <w:pPr>
        <w:numPr>
          <w:ilvl w:val="0"/>
          <w:numId w:val="14"/>
        </w:numPr>
        <w:spacing w:line="360" w:lineRule="auto"/>
        <w:ind w:firstLine="480" w:firstLineChars="200"/>
        <w:rPr>
          <w:rFonts w:hint="eastAsia" w:ascii="仿宋" w:hAnsi="仿宋" w:eastAsia="仿宋" w:cs="仿宋"/>
          <w:sz w:val="24"/>
          <w:szCs w:val="32"/>
          <w:lang w:eastAsia="zh-CN"/>
        </w:rPr>
      </w:pPr>
      <w:r>
        <w:rPr>
          <w:rFonts w:hint="eastAsia" w:ascii="仿宋" w:hAnsi="仿宋" w:eastAsia="仿宋" w:cs="仿宋"/>
          <w:sz w:val="24"/>
          <w:szCs w:val="32"/>
        </w:rPr>
        <w:t>贯彻、执行国家有关安全生产的法律、法规和政策，制定环卫作业安全生产的规章制度和标准规范</w:t>
      </w:r>
      <w:r>
        <w:rPr>
          <w:rFonts w:hint="eastAsia" w:ascii="仿宋" w:hAnsi="仿宋" w:eastAsia="仿宋" w:cs="仿宋"/>
          <w:sz w:val="24"/>
          <w:szCs w:val="32"/>
          <w:lang w:eastAsia="zh-CN"/>
        </w:rPr>
        <w:t>。</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监督、管理本级环卫作业安全生产工作，依法对安全生产责任主体生产安全情况进行监督检查。</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依法对环卫作业单位安全生产费用提取、使用和管理进行监督检查。</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建立环卫作业安全生产通报制度，及时通报环卫作业单位的安全生产情况。</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对环卫作业单位的安全生产主要负责人和专职安全生产管理人员的安全生产工作进行监督管理。</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建立安全生产违法违规行为信息库，记录环卫作业单位的安全生产违法违规行为信息。</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监督、指导区城市管理行政主管部门履行本行政区域管理范围内的环卫作业安全生产监管责任。</w:t>
      </w:r>
    </w:p>
    <w:p>
      <w:pPr>
        <w:numPr>
          <w:ilvl w:val="0"/>
          <w:numId w:val="14"/>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其他有关安全生产管理工作的监督管理。</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第四十九条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【区主管部门安全生产监督管理职责】区城市管理行政主管部门负责本行政区域内环卫作业单位安全生产的监督管理工作，主要职责是：</w:t>
      </w:r>
    </w:p>
    <w:p>
      <w:pPr>
        <w:numPr>
          <w:ilvl w:val="0"/>
          <w:numId w:val="15"/>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贯彻、执行国家有关安全生产的法律、法规、规章、政策和标准规范，制定本行政区域内环卫作业单位安全生产管理制度。</w:t>
      </w:r>
    </w:p>
    <w:p>
      <w:pPr>
        <w:numPr>
          <w:ilvl w:val="0"/>
          <w:numId w:val="15"/>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监督、指导本行政区域内环卫作业单位安全生产工作，依法对安全生产责任主体生产安全情况进行监督检查</w:t>
      </w:r>
      <w:r>
        <w:rPr>
          <w:rFonts w:hint="eastAsia" w:ascii="仿宋" w:hAnsi="仿宋" w:eastAsia="仿宋" w:cs="仿宋"/>
          <w:sz w:val="24"/>
          <w:szCs w:val="32"/>
          <w:lang w:eastAsia="zh-CN"/>
        </w:rPr>
        <w:t>。</w:t>
      </w:r>
    </w:p>
    <w:p>
      <w:pPr>
        <w:numPr>
          <w:ilvl w:val="0"/>
          <w:numId w:val="15"/>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对本行政区域内环卫作业单位的安全生产管理人员的安全生产工作进行监督管理</w:t>
      </w:r>
      <w:r>
        <w:rPr>
          <w:rFonts w:hint="eastAsia" w:ascii="仿宋" w:hAnsi="仿宋" w:eastAsia="仿宋" w:cs="仿宋"/>
          <w:sz w:val="24"/>
          <w:szCs w:val="32"/>
          <w:lang w:eastAsia="zh-CN"/>
        </w:rPr>
        <w:t>。</w:t>
      </w:r>
    </w:p>
    <w:p>
      <w:pPr>
        <w:numPr>
          <w:ilvl w:val="0"/>
          <w:numId w:val="15"/>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建立本行政区域安全生产通报制度，并定期向市城市管理行政主管部门报送本行政区域内环卫作业单位安全生产情况。</w:t>
      </w:r>
    </w:p>
    <w:p>
      <w:pPr>
        <w:numPr>
          <w:ilvl w:val="0"/>
          <w:numId w:val="15"/>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记录环卫作业单位的安全生产违法违规行为信息并负责入库工作。</w:t>
      </w:r>
    </w:p>
    <w:p>
      <w:pPr>
        <w:numPr>
          <w:ilvl w:val="0"/>
          <w:numId w:val="15"/>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其他有关安全生产管理工作的监督管理。</w:t>
      </w:r>
    </w:p>
    <w:p>
      <w:pPr>
        <w:numPr>
          <w:ilvl w:val="0"/>
          <w:numId w:val="0"/>
        </w:numPr>
        <w:spacing w:line="360" w:lineRule="auto"/>
        <w:ind w:left="479" w:leftChars="228" w:firstLine="0" w:firstLineChars="0"/>
        <w:rPr>
          <w:rFonts w:hint="eastAsia" w:ascii="仿宋" w:hAnsi="仿宋" w:eastAsia="仿宋" w:cs="仿宋"/>
          <w:sz w:val="24"/>
          <w:szCs w:val="32"/>
        </w:rPr>
      </w:pPr>
      <w:r>
        <w:rPr>
          <w:rFonts w:hint="eastAsia" w:ascii="仿宋" w:hAnsi="仿宋" w:eastAsia="仿宋" w:cs="仿宋"/>
          <w:sz w:val="24"/>
          <w:szCs w:val="32"/>
        </w:rPr>
        <w:t>第五十条 【安全生产检查】环卫作业安全生产检查的主要内容包括：</w:t>
      </w:r>
    </w:p>
    <w:p>
      <w:pPr>
        <w:numPr>
          <w:ilvl w:val="0"/>
          <w:numId w:val="16"/>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环卫作业单位安全相关项目是否严格按照相关标准规范组织落实，作业过程中安全生产检查、隐患排查治理是否到位，安全生产费用是否足额支付。</w:t>
      </w:r>
    </w:p>
    <w:p>
      <w:pPr>
        <w:numPr>
          <w:ilvl w:val="0"/>
          <w:numId w:val="16"/>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环卫作业单位的安全生产组织机构、安全生产规章制度、安全生产责任制是否建立健全并落实；是否制定生产安全应急救援预案并演练。</w:t>
      </w:r>
    </w:p>
    <w:p>
      <w:pPr>
        <w:numPr>
          <w:ilvl w:val="0"/>
          <w:numId w:val="16"/>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环卫作业单位是否购置足够的安全生产防护用具及设施，安全生产费是否专款专用；安全生产培训、教育是否落实，安全生产管理人员是否经考核合格，特种作业人员是否持证上岗。</w:t>
      </w:r>
    </w:p>
    <w:p>
      <w:pPr>
        <w:numPr>
          <w:ilvl w:val="0"/>
          <w:numId w:val="16"/>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其他安全生产项目的检查。</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第五十一条</w:t>
      </w: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【安全生产检查监督措施】市城市管理行政主管部门依法履行安全生产检查职责时，有权采取下列措施：</w:t>
      </w:r>
    </w:p>
    <w:p>
      <w:pPr>
        <w:numPr>
          <w:ilvl w:val="0"/>
          <w:numId w:val="17"/>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要求被检查单位提供有关安全生产的文件和资料。</w:t>
      </w:r>
    </w:p>
    <w:p>
      <w:pPr>
        <w:numPr>
          <w:ilvl w:val="0"/>
          <w:numId w:val="17"/>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进入被检查单位作业现场进行检查、拍照、录像，向有关单位和人员了解情况。</w:t>
      </w:r>
    </w:p>
    <w:p>
      <w:pPr>
        <w:numPr>
          <w:ilvl w:val="0"/>
          <w:numId w:val="17"/>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对检查中发现的安全事故隐患，应当责令立即排除；重大安全事故隐患排除前或者排除过程中无法保证安全的，应当责令从危险区域内撤出作业人员，责令暂时停产停业或者停止使用相关设施、设备；重大安全事故隐患排除后，经审查同意，方可恢复生产经营和使用。</w:t>
      </w:r>
    </w:p>
    <w:p>
      <w:pPr>
        <w:numPr>
          <w:ilvl w:val="0"/>
          <w:numId w:val="17"/>
        </w:num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对检查中发现的安全生产违法行为，当场予以纠正或者要求限期改正。</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第五十二条 【安全生产问题整改】 环卫作业单位有下列行为之一，城市管理行政主管部门应责令其限期改正；逾期未改正的，予以通报；违反其他法律行政法规的从其规定：</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一</w:t>
      </w:r>
      <w:r>
        <w:rPr>
          <w:rFonts w:hint="eastAsia" w:ascii="仿宋" w:hAnsi="仿宋" w:eastAsia="仿宋" w:cs="仿宋"/>
          <w:sz w:val="24"/>
          <w:szCs w:val="32"/>
          <w:lang w:eastAsia="zh-CN"/>
        </w:rPr>
        <w:t>）</w:t>
      </w:r>
      <w:r>
        <w:rPr>
          <w:rFonts w:hint="eastAsia" w:ascii="仿宋" w:hAnsi="仿宋" w:eastAsia="仿宋" w:cs="仿宋"/>
          <w:sz w:val="24"/>
          <w:szCs w:val="32"/>
        </w:rPr>
        <w:t>不配合主管部门对安全生产工作的监督检查及对安全生产事故的调查处理的。</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二</w:t>
      </w:r>
      <w:r>
        <w:rPr>
          <w:rFonts w:hint="eastAsia" w:ascii="仿宋" w:hAnsi="仿宋" w:eastAsia="仿宋" w:cs="仿宋"/>
          <w:sz w:val="24"/>
          <w:szCs w:val="32"/>
          <w:lang w:eastAsia="zh-CN"/>
        </w:rPr>
        <w:t>）</w:t>
      </w:r>
      <w:r>
        <w:rPr>
          <w:rFonts w:hint="eastAsia" w:ascii="仿宋" w:hAnsi="仿宋" w:eastAsia="仿宋" w:cs="仿宋"/>
          <w:sz w:val="24"/>
          <w:szCs w:val="32"/>
        </w:rPr>
        <w:t>发生生产安全事故，未及时上报或对事故调查处理不力的。</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lang w:eastAsia="zh-CN"/>
        </w:rPr>
        <w:t>（</w:t>
      </w:r>
      <w:r>
        <w:rPr>
          <w:rFonts w:hint="eastAsia" w:ascii="仿宋" w:hAnsi="仿宋" w:eastAsia="仿宋" w:cs="仿宋"/>
          <w:sz w:val="24"/>
          <w:szCs w:val="32"/>
          <w:lang w:val="en-US" w:eastAsia="zh-CN"/>
        </w:rPr>
        <w:t>三</w:t>
      </w:r>
      <w:r>
        <w:rPr>
          <w:rFonts w:hint="eastAsia" w:ascii="仿宋" w:hAnsi="仿宋" w:eastAsia="仿宋" w:cs="仿宋"/>
          <w:sz w:val="24"/>
          <w:szCs w:val="32"/>
          <w:lang w:eastAsia="zh-CN"/>
        </w:rPr>
        <w:t>）</w:t>
      </w:r>
      <w:r>
        <w:rPr>
          <w:rFonts w:hint="eastAsia" w:ascii="仿宋" w:hAnsi="仿宋" w:eastAsia="仿宋" w:cs="仿宋"/>
          <w:sz w:val="24"/>
          <w:szCs w:val="32"/>
        </w:rPr>
        <w:t>未保证安全生产所必需的资金投入，致使单位不具备安全生产条件的。</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（四）安全生产标准化考核不合格的。</w:t>
      </w:r>
    </w:p>
    <w:p>
      <w:pPr>
        <w:shd w:val="clear"/>
        <w:snapToGrid w:val="0"/>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第十五章 附则</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第五十三条 社会企业参照本规定执行。</w:t>
      </w:r>
    </w:p>
    <w:p>
      <w:pPr>
        <w:spacing w:line="360" w:lineRule="auto"/>
        <w:ind w:firstLine="480" w:firstLineChars="200"/>
        <w:rPr>
          <w:rFonts w:hint="eastAsia" w:ascii="仿宋" w:hAnsi="仿宋" w:eastAsia="仿宋" w:cs="仿宋"/>
          <w:sz w:val="24"/>
          <w:szCs w:val="32"/>
        </w:rPr>
      </w:pPr>
      <w:r>
        <w:rPr>
          <w:rFonts w:hint="eastAsia" w:ascii="仿宋" w:hAnsi="仿宋" w:eastAsia="仿宋" w:cs="仿宋"/>
          <w:sz w:val="24"/>
          <w:szCs w:val="32"/>
        </w:rPr>
        <w:t>第五十四条 本规定由市城市管理行政主管部门负责解释。</w:t>
      </w:r>
    </w:p>
    <w:p>
      <w:pPr>
        <w:rPr>
          <w:rFonts w:hint="eastAsia" w:ascii="仿宋" w:hAnsi="仿宋" w:eastAsia="仿宋" w:cs="仿宋"/>
          <w:color w:val="auto"/>
          <w:sz w:val="24"/>
          <w:szCs w:val="24"/>
          <w:lang w:val="en-US"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r>
        <w:rPr>
          <w:rFonts w:hint="eastAsia" w:cs="宋体"/>
          <w:b/>
          <w:bCs/>
          <w:color w:val="auto"/>
          <w:sz w:val="28"/>
          <w:szCs w:val="28"/>
          <w:lang w:val="en-US" w:eastAsia="zh-CN"/>
        </w:rPr>
        <w:t>5</w:t>
      </w:r>
      <w:r>
        <w:rPr>
          <w:rFonts w:hint="eastAsia" w:ascii="宋体" w:hAnsi="宋体" w:eastAsia="宋体" w:cs="宋体"/>
          <w:b/>
          <w:bCs/>
          <w:color w:val="auto"/>
          <w:sz w:val="28"/>
          <w:szCs w:val="28"/>
          <w:lang w:val="en-US" w:eastAsia="zh-CN"/>
        </w:rPr>
        <w:t>：《广州市环卫安全生产检查标准（试行）》</w:t>
      </w:r>
    </w:p>
    <w:p>
      <w:pPr>
        <w:numPr>
          <w:ilvl w:val="0"/>
          <w:numId w:val="0"/>
        </w:numPr>
        <w:spacing w:line="360" w:lineRule="auto"/>
        <w:ind w:firstLine="594" w:firstLineChars="200"/>
        <w:jc w:val="center"/>
        <w:outlineLvl w:val="9"/>
        <w:rPr>
          <w:rFonts w:hint="eastAsia" w:ascii="黑体" w:hAnsi="黑体" w:eastAsia="黑体" w:cs="黑体"/>
          <w:b/>
          <w:bCs/>
          <w:color w:val="000000"/>
          <w:spacing w:val="8"/>
          <w:sz w:val="28"/>
          <w:szCs w:val="28"/>
          <w:shd w:val="clear" w:color="auto" w:fill="FFFFFF"/>
          <w:lang w:val="en-US" w:eastAsia="zh-CN"/>
        </w:rPr>
      </w:pPr>
    </w:p>
    <w:p>
      <w:pPr>
        <w:numPr>
          <w:ilvl w:val="0"/>
          <w:numId w:val="0"/>
        </w:numPr>
        <w:spacing w:line="360" w:lineRule="auto"/>
        <w:ind w:firstLine="594" w:firstLineChars="200"/>
        <w:jc w:val="center"/>
        <w:rPr>
          <w:rFonts w:hint="eastAsia" w:ascii="黑体" w:hAnsi="黑体" w:eastAsia="黑体" w:cs="黑体"/>
          <w:b/>
          <w:bCs/>
          <w:color w:val="000000"/>
          <w:spacing w:val="8"/>
          <w:sz w:val="28"/>
          <w:szCs w:val="28"/>
          <w:shd w:val="clear" w:color="auto" w:fill="FFFFFF"/>
          <w:lang w:val="en-US" w:eastAsia="zh-CN"/>
        </w:rPr>
      </w:pPr>
      <w:r>
        <w:rPr>
          <w:rFonts w:hint="eastAsia" w:ascii="黑体" w:hAnsi="黑体" w:eastAsia="黑体" w:cs="黑体"/>
          <w:b/>
          <w:bCs/>
          <w:color w:val="000000"/>
          <w:spacing w:val="8"/>
          <w:sz w:val="28"/>
          <w:szCs w:val="28"/>
          <w:shd w:val="clear" w:color="auto" w:fill="FFFFFF"/>
          <w:lang w:val="en-US" w:eastAsia="zh-CN"/>
        </w:rPr>
        <w:t>广州市环卫安全生产检查标准（试行）</w:t>
      </w:r>
    </w:p>
    <w:p>
      <w:pPr>
        <w:outlineLvl w:val="9"/>
        <w:rPr>
          <w:rFonts w:hint="eastAsia"/>
          <w:lang w:val="en-US" w:eastAsia="zh-CN"/>
        </w:rPr>
      </w:pPr>
    </w:p>
    <w:p>
      <w:pPr>
        <w:numPr>
          <w:ilvl w:val="0"/>
          <w:numId w:val="18"/>
        </w:numPr>
        <w:spacing w:line="360" w:lineRule="auto"/>
        <w:ind w:firstLine="512" w:firstLineChars="200"/>
        <w:rPr>
          <w:rFonts w:hint="eastAsia" w:ascii="仿宋" w:hAnsi="仿宋" w:eastAsia="仿宋" w:cs="仿宋"/>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为提高安全生产工作和文明生产的管理水平，科学评价环卫工作的安全生产情况，预防伤亡事故的发生，保障人员的安全和健康，实现检查评价工作的标准化、规范化，根据《</w:t>
      </w:r>
      <w:r>
        <w:rPr>
          <w:rFonts w:hint="eastAsia" w:ascii="仿宋" w:hAnsi="仿宋" w:eastAsia="仿宋" w:cs="仿宋"/>
          <w:kern w:val="0"/>
          <w:sz w:val="24"/>
          <w:szCs w:val="24"/>
        </w:rPr>
        <w:t>广东省安全生产条例》、《广州市安全生产管理规定》、</w:t>
      </w:r>
      <w:r>
        <w:rPr>
          <w:rFonts w:hint="eastAsia" w:ascii="仿宋" w:hAnsi="仿宋" w:eastAsia="仿宋" w:cs="仿宋"/>
          <w:color w:val="000000"/>
          <w:spacing w:val="8"/>
          <w:sz w:val="24"/>
          <w:szCs w:val="24"/>
          <w:shd w:val="clear" w:color="auto" w:fill="FFFFFF"/>
        </w:rPr>
        <w:t>《广州市市容环境卫生管理规定》等有关法律、法规，结合本市实际,制定本标准。</w:t>
      </w:r>
    </w:p>
    <w:p>
      <w:pPr>
        <w:numPr>
          <w:ilvl w:val="0"/>
          <w:numId w:val="18"/>
        </w:numPr>
        <w:spacing w:line="360" w:lineRule="auto"/>
        <w:ind w:firstLine="512" w:firstLineChars="200"/>
        <w:rPr>
          <w:rFonts w:hint="eastAsia" w:ascii="仿宋" w:hAnsi="仿宋" w:eastAsia="仿宋" w:cs="仿宋"/>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本标准适用于本市生活垃圾清扫、收集、运输服务的环卫作业单位。</w:t>
      </w:r>
    </w:p>
    <w:p>
      <w:pPr>
        <w:numPr>
          <w:ilvl w:val="0"/>
          <w:numId w:val="0"/>
        </w:numPr>
        <w:spacing w:line="360" w:lineRule="auto"/>
        <w:rPr>
          <w:rFonts w:hint="eastAsia" w:ascii="仿宋" w:hAnsi="仿宋" w:eastAsia="仿宋" w:cs="仿宋"/>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市、区城市管理行政主管部门是本标准的组织实施者。</w:t>
      </w:r>
    </w:p>
    <w:p>
      <w:pPr>
        <w:numPr>
          <w:ilvl w:val="0"/>
          <w:numId w:val="18"/>
        </w:numPr>
        <w:spacing w:line="360" w:lineRule="auto"/>
        <w:ind w:left="0" w:leftChars="0" w:firstLine="512" w:firstLineChars="200"/>
        <w:rPr>
          <w:rFonts w:hint="eastAsia" w:ascii="仿宋" w:hAnsi="仿宋" w:eastAsia="仿宋" w:cs="仿宋"/>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各环卫作业单位主要负责人是本单位的安全生产检查工作的第一责任人。</w:t>
      </w:r>
    </w:p>
    <w:p>
      <w:pPr>
        <w:numPr>
          <w:ilvl w:val="0"/>
          <w:numId w:val="18"/>
        </w:numPr>
        <w:spacing w:line="360" w:lineRule="auto"/>
        <w:ind w:left="0" w:leftChars="0" w:firstLine="512" w:firstLineChars="200"/>
        <w:rPr>
          <w:rFonts w:hint="eastAsia" w:ascii="仿宋" w:hAnsi="仿宋" w:eastAsia="仿宋" w:cs="仿宋"/>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有关环卫设施、场所、机械及设备、人员及安全生产标准化的用辞，采用《城市环境卫生专用设备(CJ/T 16~21-1999)》及《企业安全生产标准化基本规范（GBT33000-2016）》，但国家另有规定的从其规定。</w:t>
      </w:r>
    </w:p>
    <w:p>
      <w:pPr>
        <w:numPr>
          <w:ilvl w:val="0"/>
          <w:numId w:val="18"/>
        </w:numPr>
        <w:spacing w:line="360" w:lineRule="auto"/>
        <w:ind w:left="0" w:leftChars="0" w:firstLine="512" w:firstLineChars="200"/>
        <w:rPr>
          <w:rFonts w:hint="eastAsia" w:ascii="仿宋" w:hAnsi="仿宋" w:eastAsia="仿宋" w:cs="仿宋"/>
          <w:color w:val="000000"/>
          <w:spacing w:val="8"/>
          <w:sz w:val="24"/>
          <w:szCs w:val="24"/>
          <w:shd w:val="clear" w:color="auto" w:fill="FFFFFF"/>
        </w:rPr>
      </w:pPr>
      <w:r>
        <w:rPr>
          <w:rFonts w:hint="eastAsia" w:ascii="仿宋" w:hAnsi="仿宋" w:eastAsia="仿宋" w:cs="仿宋"/>
          <w:color w:val="000000"/>
          <w:spacing w:val="8"/>
          <w:sz w:val="24"/>
          <w:szCs w:val="24"/>
          <w:shd w:val="clear" w:color="auto" w:fill="FFFFFF"/>
        </w:rPr>
        <w:t>在检查过程中，除应符合本标准外，如国家另有强制性规定的，还应符合国家、地方标准。</w:t>
      </w:r>
    </w:p>
    <w:p>
      <w:pPr>
        <w:numPr>
          <w:ilvl w:val="0"/>
          <w:numId w:val="18"/>
        </w:numPr>
        <w:spacing w:line="360" w:lineRule="auto"/>
        <w:ind w:left="0" w:leftChars="0" w:firstLine="512" w:firstLineChars="200"/>
        <w:rPr>
          <w:rFonts w:hint="eastAsia" w:ascii="仿宋" w:hAnsi="仿宋" w:eastAsia="仿宋" w:cs="仿宋"/>
          <w:sz w:val="24"/>
          <w:szCs w:val="24"/>
        </w:rPr>
      </w:pPr>
      <w:r>
        <w:rPr>
          <w:rFonts w:hint="eastAsia" w:ascii="仿宋" w:hAnsi="仿宋" w:eastAsia="仿宋" w:cs="仿宋"/>
          <w:color w:val="000000"/>
          <w:spacing w:val="8"/>
          <w:sz w:val="24"/>
          <w:szCs w:val="24"/>
          <w:shd w:val="clear" w:color="auto" w:fill="FFFFFF"/>
        </w:rPr>
        <w:t>环卫作业安全生产检查应按照《</w:t>
      </w:r>
      <w:r>
        <w:rPr>
          <w:rFonts w:hint="eastAsia" w:ascii="仿宋" w:hAnsi="仿宋" w:eastAsia="仿宋" w:cs="仿宋"/>
          <w:sz w:val="24"/>
          <w:szCs w:val="24"/>
        </w:rPr>
        <w:t>广州市环卫作业安全生产检查标准表</w:t>
      </w:r>
      <w:r>
        <w:rPr>
          <w:rFonts w:hint="eastAsia" w:ascii="仿宋" w:hAnsi="仿宋" w:eastAsia="仿宋" w:cs="仿宋"/>
          <w:color w:val="000000"/>
          <w:spacing w:val="8"/>
          <w:sz w:val="24"/>
          <w:szCs w:val="24"/>
          <w:shd w:val="clear" w:color="auto" w:fill="FFFFFF"/>
        </w:rPr>
        <w:t>》的要求，采用资料核对、抽查考核、人员询问和现场查证的方法进行。</w:t>
      </w:r>
    </w:p>
    <w:p>
      <w:pPr>
        <w:numPr>
          <w:ilvl w:val="0"/>
          <w:numId w:val="18"/>
        </w:numPr>
        <w:spacing w:line="360" w:lineRule="auto"/>
        <w:ind w:left="0" w:leftChars="0" w:firstLine="480" w:firstLineChars="200"/>
        <w:rPr>
          <w:rFonts w:hint="eastAsia" w:ascii="仿宋" w:hAnsi="仿宋" w:eastAsia="仿宋" w:cs="仿宋"/>
          <w:sz w:val="24"/>
          <w:szCs w:val="24"/>
        </w:rPr>
      </w:pPr>
      <w:r>
        <w:rPr>
          <w:rFonts w:hint="eastAsia" w:ascii="仿宋" w:hAnsi="仿宋" w:eastAsia="仿宋" w:cs="仿宋"/>
          <w:sz w:val="24"/>
          <w:szCs w:val="24"/>
        </w:rPr>
        <w:t>安全生产标准化考核得分以1000分为满分，被考核单位的得分计算方法：各项目实得分之和×[1000÷（1000－各空项分之和）]。</w:t>
      </w:r>
    </w:p>
    <w:p>
      <w:pPr>
        <w:numPr>
          <w:ilvl w:val="0"/>
          <w:numId w:val="19"/>
        </w:numPr>
        <w:snapToGrid w:val="0"/>
        <w:spacing w:line="360" w:lineRule="auto"/>
        <w:ind w:leftChars="200" w:firstLine="240" w:firstLineChars="100"/>
        <w:rPr>
          <w:rFonts w:hint="eastAsia" w:ascii="仿宋" w:hAnsi="仿宋" w:eastAsia="仿宋" w:cs="仿宋"/>
          <w:sz w:val="24"/>
          <w:szCs w:val="24"/>
        </w:rPr>
      </w:pPr>
      <w:r>
        <w:rPr>
          <w:rFonts w:hint="eastAsia" w:ascii="仿宋" w:hAnsi="仿宋" w:eastAsia="仿宋" w:cs="仿宋"/>
          <w:sz w:val="24"/>
          <w:szCs w:val="24"/>
        </w:rPr>
        <w:t>优秀。无未得分项，且考核得分达到800分以上（含800分）。</w:t>
      </w:r>
    </w:p>
    <w:p>
      <w:pPr>
        <w:numPr>
          <w:ilvl w:val="0"/>
          <w:numId w:val="19"/>
        </w:numPr>
        <w:snapToGrid w:val="0"/>
        <w:spacing w:line="360" w:lineRule="auto"/>
        <w:ind w:leftChars="200" w:firstLine="240" w:firstLineChars="100"/>
        <w:rPr>
          <w:rFonts w:hint="eastAsia" w:ascii="仿宋" w:hAnsi="仿宋" w:eastAsia="仿宋" w:cs="仿宋"/>
          <w:sz w:val="24"/>
          <w:szCs w:val="24"/>
        </w:rPr>
      </w:pPr>
      <w:r>
        <w:rPr>
          <w:rFonts w:hint="eastAsia" w:ascii="仿宋" w:hAnsi="仿宋" w:eastAsia="仿宋" w:cs="仿宋"/>
          <w:sz w:val="24"/>
          <w:szCs w:val="24"/>
        </w:rPr>
        <w:t>合格。（1）考核得分值在750分及其以上；（2）有一项目未得分，但考核得分在800分及其以上；（3）有三项未得分，但考核得分在850分及其以上。</w:t>
      </w:r>
    </w:p>
    <w:p>
      <w:pPr>
        <w:numPr>
          <w:ilvl w:val="0"/>
          <w:numId w:val="19"/>
        </w:numPr>
        <w:snapToGrid w:val="0"/>
        <w:spacing w:line="360" w:lineRule="auto"/>
        <w:ind w:leftChars="200" w:firstLine="240" w:firstLineChars="100"/>
        <w:rPr>
          <w:rFonts w:hint="eastAsia" w:ascii="仿宋" w:hAnsi="仿宋" w:eastAsia="仿宋" w:cs="仿宋"/>
          <w:sz w:val="24"/>
          <w:szCs w:val="24"/>
        </w:rPr>
      </w:pPr>
      <w:r>
        <w:rPr>
          <w:rFonts w:hint="eastAsia" w:ascii="仿宋" w:hAnsi="仿宋" w:eastAsia="仿宋" w:cs="仿宋"/>
          <w:sz w:val="24"/>
          <w:szCs w:val="24"/>
        </w:rPr>
        <w:t>不合格。（1）考核得分。不足750分；（2）有一项目未得分，且考核得分在800分以下；（3）有三项未得分，且考核得分在850分以下。</w:t>
      </w:r>
    </w:p>
    <w:p>
      <w:pPr>
        <w:numPr>
          <w:ilvl w:val="0"/>
          <w:numId w:val="20"/>
        </w:numPr>
        <w:spacing w:line="360" w:lineRule="auto"/>
        <w:ind w:firstLine="512" w:firstLineChars="200"/>
        <w:rPr>
          <w:rFonts w:hint="eastAsia" w:ascii="仿宋" w:hAnsi="仿宋" w:eastAsia="仿宋" w:cs="仿宋"/>
          <w:sz w:val="24"/>
          <w:szCs w:val="24"/>
        </w:rPr>
      </w:pPr>
      <w:r>
        <w:rPr>
          <w:rFonts w:hint="eastAsia" w:ascii="仿宋" w:hAnsi="仿宋" w:eastAsia="仿宋" w:cs="仿宋"/>
          <w:color w:val="000000"/>
          <w:spacing w:val="8"/>
          <w:sz w:val="24"/>
          <w:szCs w:val="24"/>
          <w:shd w:val="clear" w:color="auto" w:fill="FFFFFF"/>
        </w:rPr>
        <w:t>环卫作业单位</w:t>
      </w:r>
      <w:r>
        <w:rPr>
          <w:rFonts w:hint="eastAsia" w:ascii="仿宋" w:hAnsi="仿宋" w:eastAsia="仿宋" w:cs="仿宋"/>
          <w:sz w:val="24"/>
          <w:szCs w:val="24"/>
        </w:rPr>
        <w:t>安全标准化考核内容包括：</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级标准：安全生产目标、组织机构和职责、安全投入、法律法规与安全管理制度、隐患排查与治理、安全生产基础设施管理、作业安全、职业健康、教育培训、应急救援、事故报告及调查处理、绩效评定和持续改进等十二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级标准：控制指标及检测、机构和人员、负责人、职责、激励约束机制、安全生产费用、工伤保险、法律法规与标准规范、规章制度、操作规程、评估修订、文件和档案管理、教育培训管理、人员培训、安全文化设备设施建设、设备设施运行管理、人员管理、检维修、拆除与报废、现场管理、作业行为管理、警示标志和安全防护、应急危险性工库房管理、开展安全生产电子台账管理、重大危险源监控、安全生产电子台风险账信息系统的建设、相关方管理、隐患排查、隐患排序、隐患治理、隐患排解、职业健康管理、职业危害告知和警示、劳动防护用品、应急机构和队伍、应急预案、应急设施、应急演练、事故救援、事故报告、事故调查和处理、绩效评定及改进、建设等四十一项。</w:t>
      </w:r>
    </w:p>
    <w:p>
      <w:pPr>
        <w:numPr>
          <w:ilvl w:val="0"/>
          <w:numId w:val="20"/>
        </w:numPr>
        <w:snapToGrid w:val="0"/>
        <w:spacing w:line="360" w:lineRule="auto"/>
        <w:ind w:firstLine="512" w:firstLineChars="200"/>
        <w:rPr>
          <w:rFonts w:hint="eastAsia" w:ascii="仿宋" w:hAnsi="仿宋" w:eastAsia="仿宋" w:cs="仿宋"/>
          <w:sz w:val="24"/>
          <w:szCs w:val="24"/>
        </w:rPr>
      </w:pPr>
      <w:r>
        <w:rPr>
          <w:rFonts w:hint="eastAsia" w:ascii="仿宋" w:hAnsi="仿宋" w:eastAsia="仿宋" w:cs="仿宋"/>
          <w:color w:val="000000"/>
          <w:spacing w:val="8"/>
          <w:sz w:val="24"/>
          <w:szCs w:val="24"/>
          <w:shd w:val="clear" w:color="auto" w:fill="FFFFFF"/>
        </w:rPr>
        <w:t>环卫作业单位</w:t>
      </w:r>
      <w:r>
        <w:rPr>
          <w:rFonts w:hint="eastAsia" w:ascii="仿宋" w:hAnsi="仿宋" w:eastAsia="仿宋" w:cs="仿宋"/>
          <w:sz w:val="24"/>
          <w:szCs w:val="24"/>
        </w:rPr>
        <w:t>安全标准化考核评级按照企业自评、机构抽检、审核与公告的程序进行。</w:t>
      </w:r>
    </w:p>
    <w:p>
      <w:pPr>
        <w:numPr>
          <w:ilvl w:val="0"/>
          <w:numId w:val="2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单位自查。由</w:t>
      </w:r>
      <w:r>
        <w:rPr>
          <w:rFonts w:hint="eastAsia" w:ascii="仿宋" w:hAnsi="仿宋" w:eastAsia="仿宋" w:cs="仿宋"/>
          <w:color w:val="000000"/>
          <w:spacing w:val="8"/>
          <w:sz w:val="24"/>
          <w:szCs w:val="24"/>
          <w:shd w:val="clear" w:color="auto" w:fill="FFFFFF"/>
        </w:rPr>
        <w:t>环卫作业单位</w:t>
      </w:r>
      <w:r>
        <w:rPr>
          <w:rFonts w:hint="eastAsia" w:ascii="仿宋" w:hAnsi="仿宋" w:eastAsia="仿宋" w:cs="仿宋"/>
          <w:sz w:val="24"/>
          <w:szCs w:val="24"/>
        </w:rPr>
        <w:t>主要负责人任组长，各相关职能部门以及工会参加的考评小组，按照本标准的要求进行自评，形成自评报告并向市城市管理行政主管部门提交自评报告。</w:t>
      </w:r>
    </w:p>
    <w:p>
      <w:pPr>
        <w:numPr>
          <w:ilvl w:val="0"/>
          <w:numId w:val="2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机构抽检。</w:t>
      </w:r>
      <w:r>
        <w:rPr>
          <w:rFonts w:hint="eastAsia" w:ascii="仿宋" w:hAnsi="仿宋" w:eastAsia="仿宋" w:cs="仿宋"/>
          <w:color w:val="000000"/>
          <w:spacing w:val="8"/>
          <w:sz w:val="24"/>
          <w:szCs w:val="24"/>
          <w:shd w:val="clear" w:color="auto" w:fill="FFFFFF"/>
        </w:rPr>
        <w:t>环卫作业单位</w:t>
      </w:r>
      <w:r>
        <w:rPr>
          <w:rFonts w:hint="eastAsia" w:ascii="仿宋" w:hAnsi="仿宋" w:eastAsia="仿宋" w:cs="仿宋"/>
          <w:sz w:val="24"/>
          <w:szCs w:val="24"/>
        </w:rPr>
        <w:t>提交自评报告后，市城市管理行政主管部门进行抽签、制作抽检名单，交由市城市管理行政主管部门认可的评审机构进行评审。评审机构应当严格按照本标准的要求，采用资料核对、抽查考核、人员询问和现场查证的方法进行评审，并编制评审报告。</w:t>
      </w:r>
    </w:p>
    <w:p>
      <w:pPr>
        <w:numPr>
          <w:ilvl w:val="0"/>
          <w:numId w:val="2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审核与公告。评审机构将评审意见报市城市管理行政主管部门批准。对达标环卫作业单位通过安全生产网格化监管系统进行公告。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十、本标准采用定期检查模式，检查时间分为：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1.自查时间：每年度一月第二至第三周就上一年度的安全工作进行检查；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2.检查时间：每年度一月第四周至二月第一周就上一年度的安全工作进行检查。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释：依据《安全生产事故隐患排查治理暂行规定》第十四条第一款“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numPr>
          <w:ilvl w:val="0"/>
          <w:numId w:val="2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检查模式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1.各环卫作业单位先对检查涉及的内容进行细致彻底自查，区城市管理行政主管部门就环卫作业单位自查开展工作情况进行督查，市城市管理行政主管部门组织人员到各单位进行检查；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2.对各环卫作业单位在检查中发现的安全隐患情况，要将整改方案和整改结果以书面形式逐级上报市城市管理行政主管部门。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十二、该得分作为对一个环境卫生作业设施、场所、人员、机械及设备的安全生产情况的评价依据。</w:t>
      </w:r>
    </w:p>
    <w:p>
      <w:pPr>
        <w:pStyle w:val="4"/>
        <w:spacing w:line="360" w:lineRule="auto"/>
        <w:rPr>
          <w:rFonts w:hint="eastAsia" w:ascii="仿宋" w:hAnsi="仿宋" w:eastAsia="仿宋" w:cs="仿宋"/>
          <w:sz w:val="24"/>
          <w:szCs w:val="24"/>
        </w:rPr>
        <w:sectPr>
          <w:footerReference r:id="rId3" w:type="default"/>
          <w:pgSz w:w="11906" w:h="16838"/>
          <w:pgMar w:top="1134" w:right="1474" w:bottom="1134" w:left="1588" w:header="851" w:footer="992" w:gutter="0"/>
          <w:cols w:space="720" w:num="1"/>
          <w:docGrid w:linePitch="634" w:charSpace="-4740"/>
        </w:sectPr>
      </w:pPr>
    </w:p>
    <w:p>
      <w:pPr>
        <w:spacing w:line="560" w:lineRule="exact"/>
        <w:jc w:val="center"/>
        <w:rPr>
          <w:rFonts w:ascii="宋体" w:hAnsi="宋体" w:cs="宋体"/>
          <w:b/>
          <w:bCs/>
          <w:sz w:val="20"/>
          <w:szCs w:val="20"/>
        </w:rPr>
      </w:pPr>
      <w:r>
        <w:rPr>
          <w:rFonts w:hint="eastAsia" w:ascii="宋体" w:hAnsi="宋体"/>
          <w:b/>
          <w:kern w:val="0"/>
          <w:sz w:val="24"/>
        </w:rPr>
        <w:t>广州市环卫作业</w:t>
      </w:r>
      <w:r>
        <w:rPr>
          <w:rFonts w:hint="eastAsia" w:ascii="宋体" w:hAnsi="宋体" w:cs="宋体"/>
          <w:b/>
          <w:bCs/>
          <w:sz w:val="24"/>
        </w:rPr>
        <w:t>安全生产检查标准表</w:t>
      </w:r>
    </w:p>
    <w:tbl>
      <w:tblPr>
        <w:tblStyle w:val="9"/>
        <w:tblW w:w="502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035"/>
        <w:gridCol w:w="1830"/>
        <w:gridCol w:w="1999"/>
        <w:gridCol w:w="1593"/>
        <w:gridCol w:w="684"/>
        <w:gridCol w:w="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blHeader/>
          <w:jc w:val="center"/>
        </w:trPr>
        <w:tc>
          <w:tcPr>
            <w:tcW w:w="441" w:type="pct"/>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考核</w:t>
            </w: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要素</w:t>
            </w:r>
          </w:p>
        </w:tc>
        <w:tc>
          <w:tcPr>
            <w:tcW w:w="618" w:type="pct"/>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考评</w:t>
            </w:r>
          </w:p>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项目</w:t>
            </w:r>
          </w:p>
        </w:tc>
        <w:tc>
          <w:tcPr>
            <w:tcW w:w="2289" w:type="pct"/>
            <w:gridSpan w:val="2"/>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内容</w:t>
            </w:r>
          </w:p>
        </w:tc>
        <w:tc>
          <w:tcPr>
            <w:tcW w:w="952" w:type="pct"/>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依据</w:t>
            </w:r>
          </w:p>
        </w:tc>
        <w:tc>
          <w:tcPr>
            <w:tcW w:w="408" w:type="pct"/>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检查结果</w:t>
            </w:r>
          </w:p>
        </w:tc>
        <w:tc>
          <w:tcPr>
            <w:tcW w:w="288" w:type="pct"/>
            <w:noWrap w:val="0"/>
            <w:vAlign w:val="top"/>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jc w:val="center"/>
        </w:trPr>
        <w:tc>
          <w:tcPr>
            <w:tcW w:w="441" w:type="pc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一、安全生产目标（44分，权重4.4%）</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控制指标及检测</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制定文件化的年度安全生产目标与指标，并纳入环卫作业单位总体生产经营目标。</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根据所属环卫作业单位和部门在安全生产中的职能，分解年度安全生产目标，逐级签订年度安全生产责任书，并制定实施计划和考核办法。</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按照单位安全生产制度规定，对安全生产目标和指标实施计划的执行情况进行检查，并保存有关检查记录资料。</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对安全生产目标的完成效果进行评估和考核。</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评估报告和实施计划的调整、修改记录应形成文件并加以保存。</w:t>
            </w:r>
          </w:p>
          <w:p>
            <w:pPr>
              <w:numPr>
                <w:ilvl w:val="0"/>
                <w:numId w:val="2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检查标准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每一项11分。</w:t>
            </w:r>
          </w:p>
          <w:p>
            <w:pPr>
              <w:numPr>
                <w:ilvl w:val="0"/>
                <w:numId w:val="2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未制定安全生产目标和指标的扣8分。</w:t>
            </w:r>
          </w:p>
          <w:p>
            <w:pPr>
              <w:numPr>
                <w:ilvl w:val="0"/>
                <w:numId w:val="2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未签订安全目标责任书的，缺少一份扣1分,扣完为止。</w:t>
            </w:r>
          </w:p>
          <w:p>
            <w:pPr>
              <w:numPr>
                <w:ilvl w:val="0"/>
                <w:numId w:val="2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有文本，覆盖各级组织，缺少一个单位（部门）扣2分,扣完为止。</w:t>
            </w:r>
          </w:p>
          <w:p>
            <w:pPr>
              <w:numPr>
                <w:ilvl w:val="0"/>
                <w:numId w:val="2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有文本，并落实。否则分别扣4分。</w:t>
            </w:r>
          </w:p>
          <w:p>
            <w:pPr>
              <w:numPr>
                <w:ilvl w:val="0"/>
                <w:numId w:val="2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未考核的扣8分。</w:t>
            </w:r>
          </w:p>
          <w:p>
            <w:pPr>
              <w:numPr>
                <w:ilvl w:val="0"/>
                <w:numId w:val="2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2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安全生产及其相关的文件。</w:t>
            </w:r>
          </w:p>
          <w:p>
            <w:pPr>
              <w:numPr>
                <w:ilvl w:val="0"/>
                <w:numId w:val="2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安全生产单位、各级机构签订的安全生产责任书、工作计划和评估、考核各级组织的记录。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管理人员、从业人员对安全生产单位安全生产</w:t>
            </w:r>
            <w:r>
              <w:rPr>
                <w:rFonts w:hint="eastAsia" w:ascii="仿宋" w:hAnsi="仿宋" w:eastAsia="仿宋" w:cs="仿宋"/>
                <w:kern w:val="0"/>
                <w:sz w:val="24"/>
                <w:szCs w:val="24"/>
              </w:rPr>
              <w:t>目标与指标等的掌握情况。</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权重：0.044</w:t>
            </w:r>
          </w:p>
        </w:tc>
        <w:tc>
          <w:tcPr>
            <w:tcW w:w="952" w:type="pct"/>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《安全生产法》第4条，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《企业安全生产标准化基本规范》（GB/T33000-2016）</w:t>
            </w: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0"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二、组织机构和职责（70分，权重7%）</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机构和人员</w:t>
            </w:r>
          </w:p>
        </w:tc>
        <w:tc>
          <w:tcPr>
            <w:tcW w:w="2289" w:type="pct"/>
            <w:gridSpan w:val="2"/>
            <w:noWrap w:val="0"/>
            <w:vAlign w:val="top"/>
          </w:tcPr>
          <w:p>
            <w:pPr>
              <w:numPr>
                <w:ilvl w:val="0"/>
                <w:numId w:val="2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numPr>
                <w:ilvl w:val="0"/>
                <w:numId w:val="2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建立安全生产委员会或领导小组。</w:t>
            </w:r>
          </w:p>
          <w:p>
            <w:pPr>
              <w:numPr>
                <w:ilvl w:val="0"/>
                <w:numId w:val="2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从业人员超过一百人的，应当设置安全管理机构或者配备专职安全生产管理人员；从业人员在一百人以下的，应当配备专职或者兼职的安全生产管理人员。</w:t>
            </w:r>
          </w:p>
          <w:p>
            <w:pPr>
              <w:numPr>
                <w:ilvl w:val="0"/>
                <w:numId w:val="2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安全生产领导机构每季度应至少召开一次安全专题会，协调解决安全生产问题。会议应有记录。</w:t>
            </w:r>
          </w:p>
          <w:p>
            <w:pPr>
              <w:numPr>
                <w:ilvl w:val="0"/>
                <w:numId w:val="2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环卫作业单位应积极推进网格化监管系统应用与维护。</w:t>
            </w:r>
          </w:p>
          <w:p>
            <w:pPr>
              <w:numPr>
                <w:ilvl w:val="0"/>
                <w:numId w:val="2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检查标准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每一项6分。</w:t>
            </w:r>
          </w:p>
          <w:p>
            <w:pPr>
              <w:numPr>
                <w:ilvl w:val="0"/>
                <w:numId w:val="2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未建立安全领导机构的扣6分。</w:t>
            </w:r>
          </w:p>
          <w:p>
            <w:pPr>
              <w:numPr>
                <w:ilvl w:val="0"/>
                <w:numId w:val="2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未按要求设置安全管理机构或配备安全管理人员的扣6分。</w:t>
            </w:r>
          </w:p>
          <w:p>
            <w:pPr>
              <w:numPr>
                <w:ilvl w:val="0"/>
                <w:numId w:val="28"/>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未召开安全专题会议，无会议记录，不得分；缺少会议记录，每缺一次扣2分，扣完为止。</w:t>
            </w:r>
          </w:p>
          <w:p>
            <w:pPr>
              <w:numPr>
                <w:ilvl w:val="0"/>
                <w:numId w:val="2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b w:val="0"/>
                <w:bCs w:val="0"/>
                <w:sz w:val="24"/>
                <w:szCs w:val="24"/>
              </w:rPr>
              <w:t>未</w:t>
            </w:r>
            <w:r>
              <w:rPr>
                <w:rFonts w:hint="eastAsia" w:ascii="仿宋" w:hAnsi="仿宋" w:eastAsia="仿宋" w:cs="仿宋"/>
                <w:sz w:val="24"/>
                <w:szCs w:val="24"/>
              </w:rPr>
              <w:t>及时维护网格化监管系统、不及时更新、不完善扣6分。</w:t>
            </w:r>
          </w:p>
          <w:p>
            <w:pPr>
              <w:numPr>
                <w:ilvl w:val="0"/>
                <w:numId w:val="26"/>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安全生产机构与人员配备文件。</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权重:0.024</w:t>
            </w:r>
          </w:p>
        </w:tc>
        <w:tc>
          <w:tcPr>
            <w:tcW w:w="952" w:type="pct"/>
            <w:vMerge w:val="restart"/>
            <w:noWrap w:val="0"/>
            <w:vAlign w:val="top"/>
          </w:tcPr>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《安全生产法》第5、19、21、22条，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《企业安全生产责任体系五落实五到位规定》，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《企业安全生产标准化基本规范》（GB/T33000-2016）</w:t>
            </w:r>
          </w:p>
        </w:tc>
        <w:tc>
          <w:tcPr>
            <w:tcW w:w="408" w:type="pct"/>
            <w:noWrap w:val="0"/>
            <w:vAlign w:val="top"/>
          </w:tcPr>
          <w:p>
            <w:pPr>
              <w:spacing w:line="360" w:lineRule="auto"/>
              <w:ind w:firstLine="480" w:firstLineChars="200"/>
              <w:rPr>
                <w:rFonts w:hint="eastAsia" w:ascii="仿宋" w:hAnsi="仿宋" w:eastAsia="仿宋" w:cs="仿宋"/>
                <w:kern w:val="0"/>
                <w:sz w:val="24"/>
                <w:szCs w:val="24"/>
              </w:rPr>
            </w:pPr>
          </w:p>
        </w:tc>
        <w:tc>
          <w:tcPr>
            <w:tcW w:w="288" w:type="pct"/>
            <w:noWrap w:val="0"/>
            <w:vAlign w:val="top"/>
          </w:tcPr>
          <w:p>
            <w:pPr>
              <w:spacing w:line="360" w:lineRule="auto"/>
              <w:ind w:firstLine="480" w:firstLineChars="20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ind w:firstLine="120" w:firstLineChars="50"/>
              <w:jc w:val="center"/>
              <w:rPr>
                <w:rFonts w:hint="eastAsia" w:ascii="仿宋" w:hAnsi="仿宋" w:eastAsia="仿宋" w:cs="仿宋"/>
                <w:sz w:val="24"/>
                <w:szCs w:val="24"/>
              </w:rPr>
            </w:pPr>
            <w:r>
              <w:rPr>
                <w:rFonts w:hint="eastAsia" w:ascii="仿宋" w:hAnsi="仿宋" w:eastAsia="仿宋" w:cs="仿宋"/>
                <w:sz w:val="24"/>
                <w:szCs w:val="24"/>
              </w:rPr>
              <w:t>负责人</w:t>
            </w:r>
          </w:p>
        </w:tc>
        <w:tc>
          <w:tcPr>
            <w:tcW w:w="2289" w:type="pct"/>
            <w:gridSpan w:val="2"/>
            <w:noWrap w:val="0"/>
            <w:vAlign w:val="top"/>
          </w:tcPr>
          <w:p>
            <w:pPr>
              <w:numPr>
                <w:ilvl w:val="0"/>
                <w:numId w:val="29"/>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环卫经营许可证按期年审。</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环卫作业单位实行安全生产“一岗双责”，环卫作业单位的主要负责人应明确其是本环卫作业单位安全生产的第一责任人,落实安全生产基础工作和全员安全生产责任制。</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主要负责人作出文件化的安全承诺，并确保安全承诺转变为必需的资源支持。</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环卫作业单位应实施安全标准化管理。</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实施全员、全过程、全方位、全天候的安全管理和监督原则。</w:t>
            </w:r>
          </w:p>
          <w:p>
            <w:pPr>
              <w:numPr>
                <w:ilvl w:val="0"/>
                <w:numId w:val="3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安全生产单位的各岗位负责人签署《安全生产责任承诺书》。</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left="198"/>
              <w:rPr>
                <w:rFonts w:hint="eastAsia" w:ascii="仿宋" w:hAnsi="仿宋" w:eastAsia="仿宋" w:cs="仿宋"/>
                <w:sz w:val="24"/>
                <w:szCs w:val="24"/>
              </w:rPr>
            </w:pPr>
            <w:r>
              <w:rPr>
                <w:rFonts w:hint="eastAsia" w:ascii="仿宋" w:hAnsi="仿宋" w:eastAsia="仿宋" w:cs="仿宋"/>
                <w:sz w:val="24"/>
                <w:szCs w:val="24"/>
              </w:rPr>
              <w:t>每一项5分。</w:t>
            </w:r>
          </w:p>
          <w:p>
            <w:pPr>
              <w:numPr>
                <w:ilvl w:val="0"/>
                <w:numId w:val="3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未按期年审扣30分，本项其余项目均不得分。</w:t>
            </w:r>
          </w:p>
          <w:p>
            <w:pPr>
              <w:numPr>
                <w:ilvl w:val="0"/>
                <w:numId w:val="31"/>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sz w:val="24"/>
                <w:szCs w:val="24"/>
              </w:rPr>
              <w:t>2项5分。环卫作业单位主要负责人不明确其是本环卫作业单位安全生产的第一责任人扣5分、未落实“双</w:t>
            </w:r>
            <w:r>
              <w:rPr>
                <w:rFonts w:hint="eastAsia" w:ascii="仿宋" w:hAnsi="仿宋" w:eastAsia="仿宋" w:cs="仿宋"/>
                <w:b w:val="0"/>
                <w:bCs w:val="0"/>
                <w:sz w:val="24"/>
                <w:szCs w:val="24"/>
              </w:rPr>
              <w:t>基”工作扣5分。</w:t>
            </w:r>
          </w:p>
          <w:p>
            <w:pPr>
              <w:numPr>
                <w:ilvl w:val="0"/>
                <w:numId w:val="31"/>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3项5分。无文件化承诺扣5分、未提供资源支持扣5分。</w:t>
            </w:r>
          </w:p>
          <w:p>
            <w:pPr>
              <w:numPr>
                <w:ilvl w:val="0"/>
                <w:numId w:val="31"/>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4项5分。未按《规范》要求实施安全标准化管理扣5分。</w:t>
            </w:r>
          </w:p>
          <w:p>
            <w:pPr>
              <w:numPr>
                <w:ilvl w:val="0"/>
                <w:numId w:val="31"/>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5项5分。全员未参与到安全管理和监督工作中扣5分。询问从业人员，每人次不符合扣1分，扣完为止。</w:t>
            </w:r>
          </w:p>
          <w:p>
            <w:pPr>
              <w:numPr>
                <w:ilvl w:val="0"/>
                <w:numId w:val="3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6项。一人未签署，扣25分。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查资料：</w:t>
            </w:r>
          </w:p>
          <w:p>
            <w:pPr>
              <w:numPr>
                <w:ilvl w:val="0"/>
                <w:numId w:val="3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主要负责人及管理人员的安全生产责任制文件、《安全生产责任承诺书》。</w:t>
            </w:r>
          </w:p>
          <w:p>
            <w:pPr>
              <w:numPr>
                <w:ilvl w:val="0"/>
                <w:numId w:val="3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评估、考核文件及档案。</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从业人员，有无参与到安全生产及其监督工作中。</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四、权重:0.025</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ind w:firstLine="240" w:firstLineChars="100"/>
              <w:jc w:val="center"/>
              <w:rPr>
                <w:rFonts w:hint="eastAsia" w:ascii="仿宋" w:hAnsi="仿宋" w:eastAsia="仿宋" w:cs="仿宋"/>
                <w:sz w:val="24"/>
                <w:szCs w:val="24"/>
              </w:rPr>
            </w:pPr>
            <w:r>
              <w:rPr>
                <w:rFonts w:hint="eastAsia" w:ascii="仿宋" w:hAnsi="仿宋" w:eastAsia="仿宋" w:cs="仿宋"/>
                <w:sz w:val="24"/>
                <w:szCs w:val="24"/>
              </w:rPr>
              <w:t>职责</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建立针对安全生产责任制的制定、沟通、培训、评审、修订及考核等环节内容的管理制度。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建立、健全安全生产责任制，并对落实情况进行考核。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对各级管理层进行安全生产责任制与权限的培训。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定期对安全生产责任制进行适宜性评审与更新。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安排安全生产单位的各岗位人员签署《安全生产责任承诺书》。</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left="210" w:leftChars="100"/>
              <w:rPr>
                <w:rFonts w:hint="eastAsia" w:ascii="仿宋" w:hAnsi="仿宋" w:eastAsia="仿宋" w:cs="仿宋"/>
                <w:kern w:val="0"/>
                <w:sz w:val="24"/>
                <w:szCs w:val="24"/>
              </w:rPr>
            </w:pPr>
            <w:r>
              <w:rPr>
                <w:rFonts w:hint="eastAsia" w:ascii="仿宋" w:hAnsi="仿宋" w:eastAsia="仿宋" w:cs="仿宋"/>
                <w:kern w:val="0"/>
                <w:sz w:val="24"/>
                <w:szCs w:val="24"/>
              </w:rPr>
              <w:t>1.前四项4分。</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查文本，无管理制度的扣4分。</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未建立安全责任制或未考核得扣4分。</w:t>
            </w:r>
          </w:p>
          <w:p>
            <w:pPr>
              <w:spacing w:line="360" w:lineRule="auto"/>
              <w:ind w:left="210" w:leftChars="100"/>
              <w:rPr>
                <w:rFonts w:hint="eastAsia" w:ascii="仿宋" w:hAnsi="仿宋" w:eastAsia="仿宋" w:cs="仿宋"/>
                <w:sz w:val="24"/>
                <w:szCs w:val="24"/>
              </w:rPr>
            </w:pPr>
            <w:r>
              <w:rPr>
                <w:rFonts w:hint="eastAsia" w:ascii="仿宋" w:hAnsi="仿宋" w:eastAsia="仿宋" w:cs="仿宋"/>
                <w:sz w:val="24"/>
                <w:szCs w:val="24"/>
              </w:rPr>
              <w:t>查文本，未进行培训的扣4分。</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查文本，未进行评审及更新的扣4分。</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安全生产单位的各岗位人员未签署《安全生产责任承诺书》，扣16分。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安全生产责任管理制度、安全生产责任制、安全生产责任制培训及评审记录的文件。</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四、权重:0.016</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激励约束机制</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鼓励从业人员积极建言献策，营造自下而上、自上而下的全员重视安全生产的良好氛围。</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每一项4.5分。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1.无文本，扣4.5分。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2.员工未参与，扣4.5分。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激励约束机制建立、落实的文件。</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从业人员，有无为本单位安全生产建言献策。</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四、权重:0.09</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41" w:type="pct"/>
            <w:vMerge w:val="restart"/>
            <w:noWrap w:val="0"/>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三、安全投入（70分，权重7%）</w:t>
            </w:r>
          </w:p>
        </w:tc>
        <w:tc>
          <w:tcPr>
            <w:tcW w:w="618" w:type="pct"/>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安全生产费用</w:t>
            </w:r>
          </w:p>
        </w:tc>
        <w:tc>
          <w:tcPr>
            <w:tcW w:w="2289" w:type="pct"/>
            <w:gridSpan w:val="2"/>
            <w:noWrap w:val="0"/>
            <w:vAlign w:val="top"/>
          </w:tcPr>
          <w:p>
            <w:pPr>
              <w:numPr>
                <w:ilvl w:val="0"/>
                <w:numId w:val="33"/>
              </w:num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达标内容</w:t>
            </w:r>
          </w:p>
          <w:p>
            <w:pPr>
              <w:numPr>
                <w:ilvl w:val="0"/>
                <w:numId w:val="3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建立安全生产费用提取和使用管理制度。</w:t>
            </w:r>
          </w:p>
          <w:p>
            <w:pPr>
              <w:numPr>
                <w:ilvl w:val="0"/>
                <w:numId w:val="3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保证安全生产费用投入，并建立安全生产费用使用台账、明细。</w:t>
            </w:r>
          </w:p>
          <w:p>
            <w:pPr>
              <w:numPr>
                <w:ilvl w:val="0"/>
                <w:numId w:val="3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制定安全生产费用的使用计划，并保证资金专项用于安全生产工作。</w:t>
            </w:r>
          </w:p>
          <w:p>
            <w:pPr>
              <w:numPr>
                <w:ilvl w:val="0"/>
                <w:numId w:val="3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制定职业危害防治，职业危害因素检测、监测和职业健康体检费用的使用计划。</w:t>
            </w:r>
          </w:p>
          <w:p>
            <w:pPr>
              <w:numPr>
                <w:ilvl w:val="0"/>
                <w:numId w:val="33"/>
              </w:num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检查标准</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每一项10分。</w:t>
            </w:r>
          </w:p>
          <w:p>
            <w:pPr>
              <w:numPr>
                <w:ilvl w:val="0"/>
                <w:numId w:val="3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查文本，未建立管理制度的扣10分。</w:t>
            </w:r>
          </w:p>
          <w:p>
            <w:pPr>
              <w:numPr>
                <w:ilvl w:val="0"/>
                <w:numId w:val="3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未建立安全生产费用台账扣4分；安全生产费用台帐不全，每项扣2分，扣完为止。</w:t>
            </w:r>
          </w:p>
          <w:p>
            <w:pPr>
              <w:numPr>
                <w:ilvl w:val="0"/>
                <w:numId w:val="3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安全生产费用挪做他用的扣10分。</w:t>
            </w:r>
          </w:p>
          <w:p>
            <w:pPr>
              <w:numPr>
                <w:ilvl w:val="0"/>
                <w:numId w:val="3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未制定相关计划扣10分。</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三、自评/检查方法</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查资料：</w:t>
            </w:r>
          </w:p>
          <w:p>
            <w:pPr>
              <w:numPr>
                <w:ilvl w:val="0"/>
                <w:numId w:val="36"/>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安全生产费用管理制度。</w:t>
            </w:r>
          </w:p>
          <w:p>
            <w:pPr>
              <w:numPr>
                <w:ilvl w:val="0"/>
                <w:numId w:val="36"/>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安全生产费用台账。</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四、权重：0.04</w:t>
            </w:r>
          </w:p>
        </w:tc>
        <w:tc>
          <w:tcPr>
            <w:tcW w:w="952" w:type="pct"/>
            <w:vMerge w:val="restart"/>
            <w:noWrap w:val="0"/>
            <w:vAlign w:val="top"/>
          </w:tcPr>
          <w:p>
            <w:pPr>
              <w:spacing w:line="360" w:lineRule="auto"/>
              <w:ind w:left="198"/>
              <w:rPr>
                <w:rFonts w:hint="eastAsia" w:ascii="仿宋" w:hAnsi="仿宋" w:eastAsia="仿宋" w:cs="仿宋"/>
                <w:sz w:val="24"/>
                <w:szCs w:val="24"/>
              </w:rPr>
            </w:pPr>
            <w:r>
              <w:rPr>
                <w:rFonts w:hint="eastAsia" w:ascii="仿宋" w:hAnsi="仿宋" w:eastAsia="仿宋" w:cs="仿宋"/>
                <w:sz w:val="24"/>
                <w:szCs w:val="24"/>
              </w:rPr>
              <w:t>《安全生产法》第20、44条，《安全生产法》第18、20条，《企业安全生产责任体系五落实五到位规定》</w:t>
            </w:r>
          </w:p>
        </w:tc>
        <w:tc>
          <w:tcPr>
            <w:tcW w:w="408" w:type="pct"/>
            <w:noWrap w:val="0"/>
            <w:vAlign w:val="top"/>
          </w:tcPr>
          <w:p>
            <w:pPr>
              <w:spacing w:line="360" w:lineRule="auto"/>
              <w:ind w:left="198"/>
              <w:rPr>
                <w:rFonts w:hint="eastAsia" w:ascii="仿宋" w:hAnsi="仿宋" w:eastAsia="仿宋" w:cs="仿宋"/>
                <w:sz w:val="24"/>
                <w:szCs w:val="24"/>
              </w:rPr>
            </w:pPr>
          </w:p>
        </w:tc>
        <w:tc>
          <w:tcPr>
            <w:tcW w:w="288" w:type="pct"/>
            <w:noWrap w:val="0"/>
            <w:vAlign w:val="top"/>
          </w:tcPr>
          <w:p>
            <w:pPr>
              <w:spacing w:line="360" w:lineRule="auto"/>
              <w:ind w:left="198"/>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工伤保险</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1.建立员工工伤保险或安全生产责任保险的管理制度。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2.足额缴纳工伤保险费或安全生产责任保险费。</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3.保障伤亡员工获取相应的保险与赔付。</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每一项10分。</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未建立保险管理制度的扣10分。</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未足额缴纳保险费每缺少一人扣2分，扣完为止。</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查文本，未按规定赔付保险费用的扣2分。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3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安全生产费用管理制度。</w:t>
            </w:r>
          </w:p>
          <w:p>
            <w:pPr>
              <w:numPr>
                <w:ilvl w:val="0"/>
                <w:numId w:val="3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安全生产费用台账。</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四、法律法规与安全管理制度（140分，权重14%）</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法律法规与标准规范</w:t>
            </w:r>
          </w:p>
        </w:tc>
        <w:tc>
          <w:tcPr>
            <w:tcW w:w="2289" w:type="pct"/>
            <w:gridSpan w:val="2"/>
            <w:noWrap w:val="0"/>
            <w:vAlign w:val="top"/>
          </w:tcPr>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1.定期识别和获取本单位、部门适用的安全生产法律法规、环卫行业作业标准规范及其他要求。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2.根据安全生产法律法规的要求，定期更新内部安全管理制度。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3.及时对环卫从业人员进行教育培训，及时传达相关方。</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kern w:val="0"/>
                <w:sz w:val="24"/>
                <w:szCs w:val="24"/>
              </w:rPr>
              <w:t>4.</w:t>
            </w:r>
            <w:r>
              <w:rPr>
                <w:rFonts w:hint="eastAsia" w:ascii="仿宋" w:hAnsi="仿宋" w:eastAsia="仿宋" w:cs="仿宋"/>
                <w:color w:val="333333"/>
                <w:sz w:val="24"/>
                <w:szCs w:val="24"/>
                <w:shd w:val="clear" w:color="auto" w:fill="FFFFFF"/>
              </w:rPr>
              <w:t>在企业醒目位置设置</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"https://baike.baidu.com/item/%E5%85%AC%E5%91%8A%E6%A0%8F/9093060" \t "https://baike.baidu.com/item/%E4%BC%81%E4%B8%9A%E5%AE%89%E5%85%A8%E7%94%9F%E4%BA%A7%E9%A3%8E%E9%99%A9%E5%85%AC%E5%91%8A%E5%85%AD%E6%9D%A1%E8%A7%84%E5%AE%9A/_blank" </w:instrText>
            </w:r>
            <w:r>
              <w:rPr>
                <w:rFonts w:hint="eastAsia" w:ascii="仿宋" w:hAnsi="仿宋" w:eastAsia="仿宋" w:cs="仿宋"/>
                <w:sz w:val="24"/>
                <w:szCs w:val="24"/>
              </w:rPr>
              <w:fldChar w:fldCharType="separate"/>
            </w:r>
            <w:r>
              <w:rPr>
                <w:rStyle w:val="12"/>
                <w:rFonts w:hint="eastAsia" w:ascii="仿宋" w:hAnsi="仿宋" w:eastAsia="仿宋" w:cs="仿宋"/>
                <w:color w:val="auto"/>
                <w:sz w:val="24"/>
                <w:szCs w:val="24"/>
                <w:u w:val="none"/>
                <w:shd w:val="clear" w:color="auto" w:fill="FFFFFF"/>
              </w:rPr>
              <w:t>公告栏</w:t>
            </w:r>
            <w:r>
              <w:rPr>
                <w:rStyle w:val="12"/>
                <w:rFonts w:hint="eastAsia" w:ascii="仿宋" w:hAnsi="仿宋" w:eastAsia="仿宋" w:cs="仿宋"/>
                <w:color w:val="auto"/>
                <w:sz w:val="24"/>
                <w:szCs w:val="24"/>
                <w:u w:val="none"/>
                <w:shd w:val="clear" w:color="auto" w:fill="FFFFFF"/>
              </w:rPr>
              <w:fldChar w:fldCharType="end"/>
            </w:r>
            <w:r>
              <w:rPr>
                <w:rFonts w:hint="eastAsia" w:ascii="仿宋" w:hAnsi="仿宋" w:eastAsia="仿宋" w:cs="仿宋"/>
                <w:color w:val="333333"/>
                <w:sz w:val="24"/>
                <w:szCs w:val="24"/>
                <w:shd w:val="clear" w:color="auto" w:fill="FFFFFF"/>
              </w:rPr>
              <w:t>，在存在安全生产风险的岗位设置告知卡，分别标明本企业、本岗位主要危险危害因素、后果、事故预防及应急措施、报告电话等内容。</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5.在重大危险源、存在严重职业病危害的场所设置明显标志，标明风险内容、危险程度、安全距离、防控办法、应急措施等内容。</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6.在有重大事故隐患和较大危险的场所和设施设备上设置明显标志，标明治理责任、期限及应急措施。</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7.在工作岗位标明安全操作要点。</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8.及时向员工公开安全生产行政处罚决定、执行情况和整改结果。</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9.及时更新安全生产风险公告内容，建立档案。</w:t>
            </w:r>
          </w:p>
          <w:p>
            <w:pPr>
              <w:spacing w:line="360" w:lineRule="auto"/>
              <w:ind w:firstLine="480" w:firstLineChars="200"/>
              <w:rPr>
                <w:rFonts w:hint="eastAsia" w:ascii="仿宋" w:hAnsi="仿宋" w:eastAsia="仿宋" w:cs="仿宋"/>
                <w:color w:val="333333"/>
                <w:sz w:val="24"/>
                <w:szCs w:val="24"/>
                <w:shd w:val="clear" w:color="auto" w:fill="FFFFFF"/>
              </w:rPr>
            </w:pPr>
            <w:r>
              <w:rPr>
                <w:rFonts w:hint="eastAsia" w:ascii="仿宋" w:hAnsi="仿宋" w:eastAsia="仿宋" w:cs="仿宋"/>
                <w:color w:val="333333"/>
                <w:sz w:val="24"/>
                <w:szCs w:val="24"/>
                <w:shd w:val="clear" w:color="auto" w:fill="FFFFFF"/>
              </w:rPr>
              <w:t>10.本单位醒目位置张贴公示已签订的《安全生产主体责任承诺书》。</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color w:val="333333"/>
                <w:sz w:val="24"/>
                <w:szCs w:val="24"/>
                <w:shd w:val="clear" w:color="auto" w:fill="FFFFFF"/>
              </w:rPr>
              <w:t>11.健全安全生产管理台账，制定了一套涵盖企业情况、安全生产会议、培训教育、特种设备、安全检查、隐患排查、安全事故、安全生产奖惩、劳保用品、消防安全、安全值班、职业危害、安全投入、应急管理相关方管理等15项内容为主的安全生产基础台账，结合实际，按照要求，逐一填写。</w:t>
            </w:r>
            <w:r>
              <w:rPr>
                <w:rFonts w:hint="eastAsia" w:ascii="仿宋" w:hAnsi="仿宋" w:eastAsia="仿宋" w:cs="仿宋"/>
                <w:b/>
                <w:bCs/>
                <w:color w:val="333333"/>
                <w:sz w:val="24"/>
                <w:szCs w:val="24"/>
                <w:shd w:val="clear" w:color="auto" w:fill="FFFFFF"/>
              </w:rPr>
              <w:t>（台账目录详见附件一）</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1项5分。查法规清单和相应法规，适用的安全法律法规标准及其他要求不全的，每缺少一个扣2分，无清单扣5分，扣完为止。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2项5分。查文本，未按安全生产法律法规要求定期更新内部安全管理规定的，每缺少一个扣2分，扣完为止。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3项5分。询问从业人员，未传达到人的每人扣2分；查培训记录，未进行培训考核的扣4分，扣完为止。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4-10项共14分。查现场，未公示未或按要求公告，一处扣2分。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11项11分。台账建立不完整，扣110分。</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文件清单、获取的相关材料及其记录。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文本数据库。</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安全生产台账。</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从业人员，是否接受教育培训，了解安全生产法律、法规。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查现场：安全生产信息公示情况。</w:t>
            </w:r>
          </w:p>
        </w:tc>
        <w:tc>
          <w:tcPr>
            <w:tcW w:w="952" w:type="pct"/>
            <w:vMerge w:val="restart"/>
            <w:noWrap w:val="0"/>
            <w:vAlign w:val="top"/>
          </w:tcPr>
          <w:p>
            <w:pPr>
              <w:spacing w:line="360" w:lineRule="auto"/>
              <w:rPr>
                <w:rFonts w:hint="eastAsia" w:ascii="仿宋" w:hAnsi="仿宋" w:eastAsia="仿宋" w:cs="仿宋"/>
                <w:sz w:val="24"/>
                <w:szCs w:val="24"/>
              </w:rPr>
            </w:pPr>
            <w:r>
              <w:rPr>
                <w:rFonts w:hint="eastAsia" w:ascii="仿宋" w:hAnsi="仿宋" w:eastAsia="仿宋" w:cs="仿宋"/>
                <w:kern w:val="0"/>
                <w:sz w:val="24"/>
                <w:szCs w:val="24"/>
              </w:rPr>
              <w:t>《安全生产法》第4、18条</w:t>
            </w:r>
          </w:p>
        </w:tc>
        <w:tc>
          <w:tcPr>
            <w:tcW w:w="408" w:type="pct"/>
            <w:noWrap w:val="0"/>
            <w:vAlign w:val="top"/>
          </w:tcPr>
          <w:p>
            <w:pPr>
              <w:spacing w:line="360" w:lineRule="auto"/>
              <w:rPr>
                <w:rFonts w:hint="eastAsia" w:ascii="仿宋" w:hAnsi="仿宋" w:eastAsia="仿宋" w:cs="仿宋"/>
                <w:kern w:val="0"/>
                <w:sz w:val="24"/>
                <w:szCs w:val="24"/>
              </w:rPr>
            </w:pPr>
          </w:p>
        </w:tc>
        <w:tc>
          <w:tcPr>
            <w:tcW w:w="288" w:type="pct"/>
            <w:noWrap w:val="0"/>
            <w:vAlign w:val="top"/>
          </w:tcPr>
          <w:p>
            <w:pPr>
              <w:spacing w:line="360" w:lineRule="auto"/>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441" w:type="pct"/>
            <w:vMerge w:val="continue"/>
            <w:tcBorders>
              <w:bottom w:val="single" w:color="000000" w:sz="4" w:space="0"/>
            </w:tcBorders>
            <w:noWrap w:val="0"/>
            <w:vAlign w:val="center"/>
          </w:tcPr>
          <w:p>
            <w:pPr>
              <w:spacing w:line="360" w:lineRule="auto"/>
              <w:rPr>
                <w:rFonts w:hint="eastAsia" w:ascii="仿宋" w:hAnsi="仿宋" w:eastAsia="仿宋" w:cs="仿宋"/>
                <w:b/>
                <w:sz w:val="24"/>
                <w:szCs w:val="24"/>
              </w:rPr>
            </w:pPr>
          </w:p>
        </w:tc>
        <w:tc>
          <w:tcPr>
            <w:tcW w:w="618" w:type="pct"/>
            <w:tcBorders>
              <w:bottom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规章制度</w:t>
            </w:r>
          </w:p>
        </w:tc>
        <w:tc>
          <w:tcPr>
            <w:tcW w:w="2289" w:type="pct"/>
            <w:gridSpan w:val="2"/>
            <w:tcBorders>
              <w:bottom w:val="single" w:color="000000" w:sz="4" w:space="0"/>
            </w:tcBorders>
            <w:noWrap w:val="0"/>
            <w:vAlign w:val="center"/>
          </w:tcPr>
          <w:p>
            <w:pPr>
              <w:numPr>
                <w:ilvl w:val="0"/>
                <w:numId w:val="38"/>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1.按照规定建立健全安全规章制度，规章制度至少应包含</w:t>
            </w:r>
            <w:r>
              <w:rPr>
                <w:rFonts w:hint="eastAsia" w:ascii="仿宋" w:hAnsi="仿宋" w:eastAsia="仿宋" w:cs="仿宋"/>
                <w:sz w:val="24"/>
                <w:szCs w:val="24"/>
              </w:rPr>
              <w:t>本单位的安全生产会议、安全生产资金投入、安全生产教育培训和特种作业人员管理、劳动防护用品管理、安全设施和设备管理、职业病防治管理、安全生产检查、危险作业管理、事故隐患排查治理、重大危险源监控管理、安全生产奖惩、事故报告、应急救援，以及法律、法规、规章规定的其他内容。</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2.将安全生产规章制度发放到相关工作岗位，并对员工进行培训和考核。</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二、检查标准</w:t>
            </w:r>
            <w:r>
              <w:rPr>
                <w:rFonts w:hint="eastAsia" w:ascii="仿宋" w:hAnsi="仿宋" w:eastAsia="仿宋" w:cs="仿宋"/>
                <w:sz w:val="24"/>
                <w:szCs w:val="24"/>
              </w:rPr>
              <w:t>。</w:t>
            </w:r>
          </w:p>
          <w:p>
            <w:pPr>
              <w:numPr>
                <w:ilvl w:val="0"/>
                <w:numId w:val="39"/>
              </w:numPr>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本项30分。查文本，每少一项制度扣5分，扣完为止。</w:t>
            </w:r>
          </w:p>
          <w:p>
            <w:pPr>
              <w:numPr>
                <w:ilvl w:val="0"/>
                <w:numId w:val="39"/>
              </w:numPr>
              <w:spacing w:line="360" w:lineRule="auto"/>
              <w:ind w:left="0" w:firstLine="480" w:firstLineChars="200"/>
              <w:rPr>
                <w:rFonts w:hint="eastAsia" w:ascii="仿宋" w:hAnsi="仿宋" w:eastAsia="仿宋" w:cs="仿宋"/>
                <w:b/>
                <w:bCs/>
                <w:sz w:val="24"/>
                <w:szCs w:val="24"/>
              </w:rPr>
            </w:pPr>
            <w:r>
              <w:rPr>
                <w:rFonts w:hint="eastAsia" w:ascii="仿宋" w:hAnsi="仿宋" w:eastAsia="仿宋" w:cs="仿宋"/>
                <w:sz w:val="24"/>
                <w:szCs w:val="24"/>
              </w:rPr>
              <w:t>本项20分，询问工作岗位，每发现一个不符合扣2分，扣完为止。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规章制度清单、相关规章制度。</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p>
          <w:p>
            <w:pPr>
              <w:numPr>
                <w:ilvl w:val="0"/>
                <w:numId w:val="40"/>
              </w:numPr>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安全生产主要负责人，是否了解本单位安全生产的规章制度，有无进行考核、培训。</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2.专职安全生产管理人员，是否了解本单位安全生产的规章制度度，有无进行考核、培训。</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四、权重：0.05</w:t>
            </w:r>
          </w:p>
        </w:tc>
        <w:tc>
          <w:tcPr>
            <w:tcW w:w="952" w:type="pct"/>
            <w:vMerge w:val="continue"/>
            <w:noWrap w:val="0"/>
            <w:vAlign w:val="top"/>
          </w:tcPr>
          <w:p>
            <w:pPr>
              <w:spacing w:line="360" w:lineRule="auto"/>
              <w:rPr>
                <w:rFonts w:hint="eastAsia" w:ascii="仿宋" w:hAnsi="仿宋" w:eastAsia="仿宋" w:cs="仿宋"/>
                <w:sz w:val="24"/>
                <w:szCs w:val="24"/>
              </w:rPr>
            </w:pPr>
          </w:p>
        </w:tc>
        <w:tc>
          <w:tcPr>
            <w:tcW w:w="408" w:type="pct"/>
            <w:noWrap w:val="0"/>
            <w:vAlign w:val="top"/>
          </w:tcPr>
          <w:p>
            <w:pPr>
              <w:spacing w:line="360" w:lineRule="auto"/>
              <w:rPr>
                <w:rFonts w:hint="eastAsia" w:ascii="仿宋" w:hAnsi="仿宋" w:eastAsia="仿宋" w:cs="仿宋"/>
                <w:sz w:val="24"/>
                <w:szCs w:val="24"/>
              </w:rPr>
            </w:pPr>
          </w:p>
        </w:tc>
        <w:tc>
          <w:tcPr>
            <w:tcW w:w="288" w:type="pct"/>
            <w:noWrap w:val="0"/>
            <w:vAlign w:val="top"/>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jc w:val="center"/>
        </w:trPr>
        <w:tc>
          <w:tcPr>
            <w:tcW w:w="441" w:type="pct"/>
            <w:vMerge w:val="continue"/>
            <w:tcBorders>
              <w:bottom w:val="single" w:color="000000" w:sz="4" w:space="0"/>
            </w:tcBorders>
            <w:noWrap w:val="0"/>
            <w:vAlign w:val="center"/>
          </w:tcPr>
          <w:p>
            <w:pPr>
              <w:spacing w:line="360" w:lineRule="auto"/>
              <w:rPr>
                <w:rFonts w:hint="eastAsia" w:ascii="仿宋" w:hAnsi="仿宋" w:eastAsia="仿宋" w:cs="仿宋"/>
                <w:b/>
                <w:sz w:val="24"/>
                <w:szCs w:val="24"/>
              </w:rPr>
            </w:pPr>
          </w:p>
        </w:tc>
        <w:tc>
          <w:tcPr>
            <w:tcW w:w="618" w:type="pct"/>
            <w:tcBorders>
              <w:bottom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操作规程</w:t>
            </w:r>
          </w:p>
        </w:tc>
        <w:tc>
          <w:tcPr>
            <w:tcW w:w="2289" w:type="pct"/>
            <w:gridSpan w:val="2"/>
            <w:tcBorders>
              <w:bottom w:val="single" w:color="000000" w:sz="4" w:space="0"/>
            </w:tcBorders>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1.根据《环卫作业安全技术规程》（GB51260-2017），编制适用于各种环卫工作岗位的安全生产操作规程。</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w:t>
            </w:r>
            <w:r>
              <w:rPr>
                <w:rFonts w:hint="eastAsia" w:ascii="仿宋" w:hAnsi="仿宋" w:eastAsia="仿宋" w:cs="仿宋"/>
                <w:kern w:val="0"/>
                <w:sz w:val="24"/>
                <w:szCs w:val="24"/>
              </w:rPr>
              <w:t>向员工下发岗位安全操作规程，并对员工进行培训和考核。</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每一项9分。</w:t>
            </w:r>
          </w:p>
          <w:p>
            <w:pPr>
              <w:numPr>
                <w:ilvl w:val="0"/>
                <w:numId w:val="4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查文本，每少一项规程扣2分，扣完为止。</w:t>
            </w:r>
          </w:p>
          <w:p>
            <w:pPr>
              <w:numPr>
                <w:ilvl w:val="0"/>
                <w:numId w:val="4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询问员工，每发现一个不符合扣2分，扣完为止。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42"/>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安全生产操作规程及其清单。</w:t>
            </w:r>
          </w:p>
          <w:p>
            <w:pPr>
              <w:numPr>
                <w:ilvl w:val="0"/>
                <w:numId w:val="42"/>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培训、考核记录。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询问考核：</w:t>
            </w:r>
            <w:r>
              <w:rPr>
                <w:rFonts w:hint="eastAsia" w:ascii="仿宋" w:hAnsi="仿宋" w:eastAsia="仿宋" w:cs="仿宋"/>
                <w:sz w:val="24"/>
                <w:szCs w:val="24"/>
              </w:rPr>
              <w:t>从业人员是否熟悉本岗位的操作规程。</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四、权重:0.018</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441" w:type="pct"/>
            <w:vMerge w:val="continue"/>
            <w:tcBorders>
              <w:bottom w:val="single" w:color="000000" w:sz="4" w:space="0"/>
            </w:tcBorders>
            <w:noWrap w:val="0"/>
            <w:vAlign w:val="center"/>
          </w:tcPr>
          <w:p>
            <w:pPr>
              <w:spacing w:line="360" w:lineRule="auto"/>
              <w:rPr>
                <w:rFonts w:hint="eastAsia" w:ascii="仿宋" w:hAnsi="仿宋" w:eastAsia="仿宋" w:cs="仿宋"/>
                <w:b/>
                <w:sz w:val="24"/>
                <w:szCs w:val="24"/>
              </w:rPr>
            </w:pPr>
          </w:p>
        </w:tc>
        <w:tc>
          <w:tcPr>
            <w:tcW w:w="618" w:type="pct"/>
            <w:tcBorders>
              <w:bottom w:val="single" w:color="000000" w:sz="4" w:space="0"/>
            </w:tcBorders>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评估修订</w:t>
            </w:r>
          </w:p>
        </w:tc>
        <w:tc>
          <w:tcPr>
            <w:tcW w:w="2289" w:type="pct"/>
            <w:gridSpan w:val="2"/>
            <w:tcBorders>
              <w:bottom w:val="single" w:color="000000" w:sz="4" w:space="0"/>
            </w:tcBorders>
            <w:noWrap w:val="0"/>
            <w:vAlign w:val="top"/>
          </w:tcPr>
          <w:p>
            <w:pPr>
              <w:numPr>
                <w:ilvl w:val="0"/>
                <w:numId w:val="4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1.规章制度、操作规程至少每年评估1次。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2.规章制度、操作规程至少每2年修订1次。</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3.主要负责人审定并签发。注明修订、生效日期和修订人员。</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left="260"/>
              <w:rPr>
                <w:rFonts w:hint="eastAsia" w:ascii="仿宋" w:hAnsi="仿宋" w:eastAsia="仿宋" w:cs="仿宋"/>
                <w:sz w:val="24"/>
                <w:szCs w:val="24"/>
              </w:rPr>
            </w:pPr>
            <w:r>
              <w:rPr>
                <w:rFonts w:hint="eastAsia" w:ascii="仿宋" w:hAnsi="仿宋" w:eastAsia="仿宋" w:cs="仿宋"/>
                <w:sz w:val="24"/>
                <w:szCs w:val="24"/>
              </w:rPr>
              <w:t>每一项4分。</w:t>
            </w:r>
          </w:p>
          <w:p>
            <w:pPr>
              <w:numPr>
                <w:ilvl w:val="0"/>
                <w:numId w:val="4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未进行此项工作，不得分。</w:t>
            </w:r>
          </w:p>
          <w:p>
            <w:pPr>
              <w:numPr>
                <w:ilvl w:val="0"/>
                <w:numId w:val="4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无记录的，不得分。</w:t>
            </w:r>
          </w:p>
          <w:p>
            <w:pPr>
              <w:numPr>
                <w:ilvl w:val="0"/>
                <w:numId w:val="4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应修订而未修订的，每项目扣2分，扣完为止。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left="260"/>
              <w:rPr>
                <w:rFonts w:hint="eastAsia" w:ascii="仿宋" w:hAnsi="仿宋" w:eastAsia="仿宋" w:cs="仿宋"/>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规章制度、操作规程修订文本，及文本有无记载修订、生效日期、修订人员、负责人签名。</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四、权重：0.012</w:t>
            </w:r>
          </w:p>
        </w:tc>
        <w:tc>
          <w:tcPr>
            <w:tcW w:w="952" w:type="pct"/>
            <w:vMerge w:val="continue"/>
            <w:noWrap w:val="0"/>
            <w:vAlign w:val="top"/>
          </w:tcPr>
          <w:p>
            <w:pPr>
              <w:spacing w:line="360" w:lineRule="auto"/>
              <w:ind w:left="420"/>
              <w:rPr>
                <w:rFonts w:hint="eastAsia" w:ascii="仿宋" w:hAnsi="仿宋" w:eastAsia="仿宋" w:cs="仿宋"/>
                <w:sz w:val="24"/>
                <w:szCs w:val="24"/>
              </w:rPr>
            </w:pPr>
          </w:p>
        </w:tc>
        <w:tc>
          <w:tcPr>
            <w:tcW w:w="408" w:type="pct"/>
            <w:noWrap w:val="0"/>
            <w:vAlign w:val="top"/>
          </w:tcPr>
          <w:p>
            <w:pPr>
              <w:spacing w:line="360" w:lineRule="auto"/>
              <w:ind w:left="420"/>
              <w:rPr>
                <w:rFonts w:hint="eastAsia" w:ascii="仿宋" w:hAnsi="仿宋" w:eastAsia="仿宋" w:cs="仿宋"/>
                <w:sz w:val="24"/>
                <w:szCs w:val="24"/>
              </w:rPr>
            </w:pPr>
          </w:p>
        </w:tc>
        <w:tc>
          <w:tcPr>
            <w:tcW w:w="288" w:type="pct"/>
            <w:noWrap w:val="0"/>
            <w:vAlign w:val="top"/>
          </w:tcPr>
          <w:p>
            <w:pPr>
              <w:spacing w:line="360" w:lineRule="auto"/>
              <w:ind w:left="42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文件和档案管理</w:t>
            </w:r>
          </w:p>
        </w:tc>
        <w:tc>
          <w:tcPr>
            <w:tcW w:w="2289" w:type="pct"/>
            <w:gridSpan w:val="2"/>
            <w:noWrap w:val="0"/>
            <w:vAlign w:val="top"/>
          </w:tcPr>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一、达标内容</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1.建立文件和档案的管理制度，明确责任部门、人员、权限及各类安全生产档案及保存要求等。</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建立安全生产过程、事件、活动、检查的安全记录档案，主要对下列安全生产资料进行档案管理：安全生产会议记录、安全费用提取使用记录、员工安全教育培训记录、劳动防护用品采购发放记录、危险源管理台账、安全检查记录、危险作业许可证、事故调查处理报告、事故隐患整改记录、安全生产奖惩记录、特种设备和特种作业人员登记、管理记录、外来施工队伍安全管理记录、安全设备设施管理台账（包括安装、运行、维护等）、有关强制性检测检验报告或记录、新改扩建项目安全设施“三同时”资料、职业健康检查与监护记录、应急演练记录、技术图纸，以及法律、法规、规范、标准等规定的其他内容。</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二、检查标准</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每一项6.5分。</w:t>
            </w:r>
          </w:p>
          <w:p>
            <w:pPr>
              <w:numPr>
                <w:ilvl w:val="0"/>
                <w:numId w:val="4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未建立管理档案扣7分；每少一项档案内容扣2分，扣完为止。</w:t>
            </w:r>
          </w:p>
          <w:p>
            <w:pPr>
              <w:numPr>
                <w:ilvl w:val="0"/>
                <w:numId w:val="4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查文本，每少一项记录扣2分，扣完为止。</w:t>
            </w:r>
          </w:p>
          <w:p>
            <w:pPr>
              <w:numPr>
                <w:ilvl w:val="0"/>
                <w:numId w:val="45"/>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为设专人管理的，扣3分。</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三、自评/检查方法</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查资料：文件和记录管理制度及其相关材料。</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查现场：查文档管理。</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四、权重:0.02</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6"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五、教育培训</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（110分，权重11%）</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教育培训管理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1.建立安全教育培训的管理制度，规定组织实施的部门及职责分工，培训目的、计划、形式、内容、学时及培训档案等要求。</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2.确定安全教育培训主管部门，定期识别安全教育培训需求，制定各类人员的培训计划。</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3.按计划进行安全教育培训，对安全培训效果进行评估和改进。</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4.做好培训记录，并建立档案。</w:t>
            </w:r>
          </w:p>
          <w:p>
            <w:pPr>
              <w:widowControl/>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5.安全生产培训学时应符合下列要求：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a）单位的主要负责人和安全生产管理人员初次安全培训时间不应少于32学时，每年再培训时间不应少于12学时；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b）新上岗的从业人员应进行“单位（厂）、部门（车间）、基层（班组）”三级安全培训教育，岗前安全培训时间不应少于24学时，每年再培训时间不应少于8学时。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c）工作场所存在职业病危害因素分类目录所列职业病危害因素的单位，其主要负责人和职业卫生管理人员初次职业卫生培训不应少于16学时，每年继续教育不应少于8学时。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d）工作场所存在职业病危害因素分类目录所列职业病危害因素的单位，接触职业病危害的从业人员初次职业卫生培训不应少于8学时，每年继续教育不应少于4学时。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e）单位党委会应每半年研究一次安全生产工作，董事会应每季度研究一次。企业总经理每月召开不少于一次各部门负责人参加的安全生产例会。企业主要负责人每季度不少于一次深入车间检查安全生产工作。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F）每年组织不少于2次的全员教育培训，对关键操作岗位员工要开展每月不少于一次的教育培训，保证从业人员具备必要的安全生产知识，熟悉本岗位安全操作规程，掌握安全操作技能，了解事故应急处理措施。未经安全生产教育和培训合格的从业人员，不得上岗作业；企业的特种作业人员必须按照国家有关规定经专门的安全作业培训，取得相应资格，方可上岗作业。</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6.单位应按照培训计划实施培训，培训内容应包括：安全生产相关法律法规、标准规范，本单位安全生产责任制、规章制度、操作规程、应急预案，本行业危险有害因素、职业病危害因素，安全设备设施、劳动防护用品的使用和维护，疏散和现场紧急情况的处理应对措施，典型事故案例等。</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widowControl/>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1-4项5分。</w:t>
            </w:r>
          </w:p>
          <w:p>
            <w:pPr>
              <w:numPr>
                <w:ilvl w:val="0"/>
                <w:numId w:val="4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未建立安全培训制度的扣5分。</w:t>
            </w:r>
          </w:p>
          <w:p>
            <w:pPr>
              <w:numPr>
                <w:ilvl w:val="0"/>
                <w:numId w:val="4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未制定安全培训教育计划的扣5分。</w:t>
            </w:r>
          </w:p>
          <w:p>
            <w:pPr>
              <w:numPr>
                <w:ilvl w:val="0"/>
                <w:numId w:val="4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对照计划，未按计划进行培训教育的，每发现一项不符合扣1分，扣完为止。</w:t>
            </w:r>
          </w:p>
          <w:p>
            <w:pPr>
              <w:numPr>
                <w:ilvl w:val="0"/>
                <w:numId w:val="4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查文本，未建立档案扣5分。</w:t>
            </w:r>
          </w:p>
          <w:p>
            <w:pPr>
              <w:numPr>
                <w:ilvl w:val="0"/>
                <w:numId w:val="4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查文本，培训时间、计划不符合5、6项的，扣20分。</w:t>
            </w:r>
          </w:p>
          <w:p>
            <w:pPr>
              <w:numPr>
                <w:ilvl w:val="0"/>
                <w:numId w:val="43"/>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自评/检查方法</w:t>
            </w:r>
          </w:p>
          <w:p>
            <w:pPr>
              <w:numPr>
                <w:ilvl w:val="0"/>
                <w:numId w:val="47"/>
              </w:numPr>
              <w:spacing w:line="360" w:lineRule="auto"/>
              <w:ind w:leftChars="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建立安全教育培训的管理制度。</w:t>
            </w:r>
          </w:p>
          <w:p>
            <w:pPr>
              <w:numPr>
                <w:ilvl w:val="0"/>
                <w:numId w:val="47"/>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确定安全教育培训主管部门，定期识别安全教育培训需求，制定各类人员的培训计划。</w:t>
            </w:r>
          </w:p>
          <w:p>
            <w:pPr>
              <w:numPr>
                <w:ilvl w:val="0"/>
                <w:numId w:val="47"/>
              </w:numPr>
              <w:spacing w:line="360" w:lineRule="auto"/>
              <w:ind w:leftChars="0" w:firstLine="480" w:firstLineChars="200"/>
              <w:rPr>
                <w:rFonts w:hint="eastAsia" w:ascii="仿宋" w:hAnsi="仿宋" w:eastAsia="仿宋" w:cs="仿宋"/>
                <w:b/>
                <w:bCs/>
                <w:sz w:val="24"/>
                <w:szCs w:val="24"/>
              </w:rPr>
            </w:pPr>
            <w:r>
              <w:rPr>
                <w:rFonts w:hint="eastAsia" w:ascii="仿宋" w:hAnsi="仿宋" w:eastAsia="仿宋" w:cs="仿宋"/>
                <w:sz w:val="24"/>
                <w:szCs w:val="24"/>
              </w:rPr>
              <w:t>按计划进行安全教育培训，对安全培训效果进行评估和改进。</w:t>
            </w:r>
          </w:p>
          <w:p>
            <w:pPr>
              <w:numPr>
                <w:ilvl w:val="0"/>
                <w:numId w:val="47"/>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做好培训记录，并建立档案。</w:t>
            </w:r>
          </w:p>
        </w:tc>
        <w:tc>
          <w:tcPr>
            <w:tcW w:w="952" w:type="pc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《安全生产法》第19条</w:t>
            </w: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人员培训</w:t>
            </w:r>
          </w:p>
        </w:tc>
        <w:tc>
          <w:tcPr>
            <w:tcW w:w="2289" w:type="pct"/>
            <w:gridSpan w:val="2"/>
            <w:noWrap w:val="0"/>
            <w:vAlign w:val="top"/>
          </w:tcPr>
          <w:p>
            <w:pPr>
              <w:numPr>
                <w:ilvl w:val="0"/>
                <w:numId w:val="48"/>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1.主要负责人和安全生产管理人员，应具备与本单位所从事的生产经营活动相适应的安全生产知识和管理能力，经培训考核合格后方可任职。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2.对岗位操作人员进行安全教育和生产技能培训和考核，考核不合格人员，不得上岗。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3.对新员工进行“三级”安全教育，并满足学时要求。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4.岗位操作人员转岗，离岗三个月以上重新上岗者，应进行安全教育培训。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5.从事特种作业员和特种设备作业的人员按规定取得资格证书、持证上岗。</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6.对外来参观、学习等人员签订安全告知书，告知有关安全规定及安全注意事项。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7.对外来施工人员、派遣工等进行安全教育培训考核，不合格不得上岗。</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8.定期接受复检。</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每一项7分。</w:t>
            </w:r>
          </w:p>
          <w:p>
            <w:pPr>
              <w:numPr>
                <w:ilvl w:val="0"/>
                <w:numId w:val="4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本项所指人员未接受培训或未经考核或考核不合格上岗的，每人扣3分，扣完为止。</w:t>
            </w:r>
          </w:p>
          <w:p>
            <w:pPr>
              <w:numPr>
                <w:ilvl w:val="0"/>
                <w:numId w:val="4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询问岗位操作人员，每发现一个不符合扣2分，扣完为止。</w:t>
            </w:r>
          </w:p>
          <w:p>
            <w:pPr>
              <w:numPr>
                <w:ilvl w:val="0"/>
                <w:numId w:val="4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未进行一级安全生产培训教育，每人扣2分；未进行二级安全生产培训教育，每人扣2分；未进行三级安全生产培训教育，每人扣2分，扣完为止。</w:t>
            </w:r>
          </w:p>
          <w:p>
            <w:pPr>
              <w:numPr>
                <w:ilvl w:val="0"/>
                <w:numId w:val="4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询问培训记录，每人次不符合扣2分，扣完为止。</w:t>
            </w:r>
          </w:p>
          <w:p>
            <w:pPr>
              <w:numPr>
                <w:ilvl w:val="0"/>
                <w:numId w:val="4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询问特种作业人员台帐及特种作业操作资格证书，每个不符合扣2分，扣完为止。</w:t>
            </w:r>
          </w:p>
          <w:p>
            <w:pPr>
              <w:numPr>
                <w:ilvl w:val="0"/>
                <w:numId w:val="49"/>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未签订安全告知书扣10分。</w:t>
            </w:r>
          </w:p>
          <w:p>
            <w:pPr>
              <w:numPr>
                <w:ilvl w:val="0"/>
                <w:numId w:val="49"/>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未进行培训的，不得分；教育培训内容未根据具体作业活动的特点，或无针对性的，每处扣2分，扣完为止。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5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安全合格证书。</w:t>
            </w:r>
          </w:p>
          <w:p>
            <w:pPr>
              <w:numPr>
                <w:ilvl w:val="0"/>
                <w:numId w:val="5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安全培训记录、档案。</w:t>
            </w:r>
          </w:p>
          <w:p>
            <w:pPr>
              <w:numPr>
                <w:ilvl w:val="0"/>
                <w:numId w:val="5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特种作业人员安全资格证书。</w:t>
            </w:r>
          </w:p>
          <w:p>
            <w:pPr>
              <w:numPr>
                <w:ilvl w:val="0"/>
                <w:numId w:val="5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从业人员教育培训记录、档案。</w:t>
            </w:r>
          </w:p>
          <w:p>
            <w:pPr>
              <w:numPr>
                <w:ilvl w:val="0"/>
                <w:numId w:val="5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外来人员教育培训记录、档案。</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p>
          <w:p>
            <w:pPr>
              <w:numPr>
                <w:ilvl w:val="0"/>
                <w:numId w:val="5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询问有关人员是否具有相应的安全生产知识。</w:t>
            </w:r>
          </w:p>
          <w:p>
            <w:pPr>
              <w:numPr>
                <w:ilvl w:val="0"/>
                <w:numId w:val="5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询问外来从业人员是否具了解相关的安全生产知识。</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四、权重:0.05</w:t>
            </w:r>
          </w:p>
        </w:tc>
        <w:tc>
          <w:tcPr>
            <w:tcW w:w="952" w:type="pct"/>
            <w:noWrap w:val="0"/>
            <w:vAlign w:val="top"/>
          </w:tcPr>
          <w:p>
            <w:pPr>
              <w:spacing w:line="360" w:lineRule="auto"/>
              <w:ind w:firstLine="480" w:firstLineChars="200"/>
              <w:rPr>
                <w:rFonts w:hint="eastAsia" w:ascii="仿宋" w:hAnsi="仿宋" w:eastAsia="仿宋" w:cs="仿宋"/>
                <w:spacing w:val="4"/>
                <w:kern w:val="0"/>
                <w:sz w:val="24"/>
                <w:szCs w:val="24"/>
              </w:rPr>
            </w:pPr>
            <w:r>
              <w:rPr>
                <w:rFonts w:hint="eastAsia" w:ascii="仿宋" w:hAnsi="仿宋" w:eastAsia="仿宋" w:cs="仿宋"/>
                <w:kern w:val="0"/>
                <w:sz w:val="24"/>
                <w:szCs w:val="24"/>
              </w:rPr>
              <w:t>《安全生产法》第18、25</w:t>
            </w:r>
            <w:r>
              <w:rPr>
                <w:rFonts w:hint="eastAsia" w:ascii="仿宋" w:hAnsi="仿宋" w:eastAsia="仿宋" w:cs="仿宋"/>
                <w:spacing w:val="4"/>
                <w:kern w:val="0"/>
                <w:sz w:val="24"/>
                <w:szCs w:val="24"/>
              </w:rPr>
              <w:t>、26、27条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《推进安全宣传“五进”工作方案》</w:t>
            </w:r>
          </w:p>
        </w:tc>
        <w:tc>
          <w:tcPr>
            <w:tcW w:w="408" w:type="pct"/>
            <w:noWrap w:val="0"/>
            <w:vAlign w:val="top"/>
          </w:tcPr>
          <w:p>
            <w:pPr>
              <w:spacing w:line="360" w:lineRule="auto"/>
              <w:ind w:firstLine="480" w:firstLineChars="200"/>
              <w:rPr>
                <w:rFonts w:hint="eastAsia" w:ascii="仿宋" w:hAnsi="仿宋" w:eastAsia="仿宋" w:cs="仿宋"/>
                <w:kern w:val="0"/>
                <w:sz w:val="24"/>
                <w:szCs w:val="24"/>
              </w:rPr>
            </w:pPr>
          </w:p>
        </w:tc>
        <w:tc>
          <w:tcPr>
            <w:tcW w:w="288" w:type="pct"/>
            <w:noWrap w:val="0"/>
            <w:vAlign w:val="top"/>
          </w:tcPr>
          <w:p>
            <w:pPr>
              <w:spacing w:line="360" w:lineRule="auto"/>
              <w:ind w:firstLine="480" w:firstLineChars="20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3"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安全文化建设</w:t>
            </w:r>
          </w:p>
        </w:tc>
        <w:tc>
          <w:tcPr>
            <w:tcW w:w="2289" w:type="pct"/>
            <w:gridSpan w:val="2"/>
            <w:noWrap w:val="0"/>
            <w:vAlign w:val="center"/>
          </w:tcPr>
          <w:p>
            <w:pPr>
              <w:numPr>
                <w:ilvl w:val="0"/>
                <w:numId w:val="52"/>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1.认真开展“安全生产月”及其他上级部门要求开展的各项活动。</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2.宣传教育形式多样，针对性强，覆盖面广，效果明显，如安全宣传栏、安全宣传标语。</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3.确定本企业的安全生产和职业病危害防治理念及行为准则。</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每一项3.3分。</w:t>
            </w:r>
          </w:p>
          <w:p>
            <w:pPr>
              <w:numPr>
                <w:ilvl w:val="0"/>
                <w:numId w:val="5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每缺少一项活动扣1分，扣完为止。</w:t>
            </w:r>
          </w:p>
          <w:p>
            <w:pPr>
              <w:numPr>
                <w:ilvl w:val="0"/>
                <w:numId w:val="53"/>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查活动档案，有正式文件、有会议部署、有活动情况总结、有督导检查记录或情况通报、有图片材料，每项未做到扣1分，扣完为止。</w:t>
            </w:r>
          </w:p>
          <w:p>
            <w:pPr>
              <w:numPr>
                <w:ilvl w:val="0"/>
                <w:numId w:val="53"/>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未制定安全生产和职业病防治理念及行为准则的，扣2分。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安全生产和职业病危害理念及行为准则的制定情况。</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安全宣传栏、标语、宣传档案的设置和情况记录情况。</w:t>
            </w:r>
          </w:p>
          <w:p>
            <w:pPr>
              <w:numPr>
                <w:ilvl w:val="0"/>
                <w:numId w:val="33"/>
              </w:numPr>
              <w:spacing w:line="360" w:lineRule="auto"/>
              <w:rPr>
                <w:rFonts w:hint="eastAsia" w:ascii="仿宋" w:hAnsi="仿宋" w:eastAsia="仿宋" w:cs="仿宋"/>
                <w:kern w:val="0"/>
                <w:sz w:val="24"/>
                <w:szCs w:val="24"/>
              </w:rPr>
            </w:pPr>
            <w:r>
              <w:rPr>
                <w:rFonts w:hint="eastAsia" w:ascii="仿宋" w:hAnsi="仿宋" w:eastAsia="仿宋" w:cs="仿宋"/>
                <w:b/>
                <w:bCs/>
                <w:sz w:val="24"/>
                <w:szCs w:val="24"/>
              </w:rPr>
              <w:t>权重:0.01</w:t>
            </w:r>
          </w:p>
        </w:tc>
        <w:tc>
          <w:tcPr>
            <w:tcW w:w="952" w:type="pc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《安全生产法》第11条</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《安全生产法》第4、17条，《企业安全生产责任体系五落实五到位规定》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《国务院安委会办公室、应急管理部关于开展2020年全国“安全生产月”和“安全生产万里行”活动的通知》</w:t>
            </w: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六、安全生产基础设施管理（100分，权重10%）</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设备设施建设</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1.新建、改建、扩建项目的安全设施、职业病防护设施应与建设项目主体工程同时设计、同时施工、同时投入生产和使用。按规定进行消防设计审核、消防验收和备案等工作。</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2.生产设施建设中的变更应严格执行变更管理制度，履行变更程序，并对变更全过程进行风险管理。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每一项20分。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1.未进行“三同时”管理的，不得分；按照有关规定需要进行安全条件论证、安全评价和职业病危害评价、提交审查和竣工验收及备案、消防审核、验收、备案等工作的，每缺少一个扣5分，扣完为止。</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2.查变更资料，每项不符合扣2分，未进行风险管理的扣2分，扣完为止。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5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设计、验收和备案文件。</w:t>
            </w:r>
          </w:p>
          <w:p>
            <w:pPr>
              <w:numPr>
                <w:ilvl w:val="0"/>
                <w:numId w:val="5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变更程序资料。</w:t>
            </w:r>
          </w:p>
          <w:p>
            <w:pPr>
              <w:spacing w:line="360" w:lineRule="auto"/>
              <w:ind w:firstLine="482" w:firstLineChars="200"/>
              <w:rPr>
                <w:rFonts w:hint="eastAsia" w:ascii="仿宋" w:hAnsi="仿宋" w:eastAsia="仿宋" w:cs="仿宋"/>
                <w:b/>
                <w:bCs/>
                <w:kern w:val="0"/>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场所有无风险管理和控制措施。</w:t>
            </w:r>
          </w:p>
          <w:p>
            <w:pPr>
              <w:spacing w:line="360" w:lineRule="auto"/>
              <w:rPr>
                <w:rFonts w:hint="eastAsia" w:ascii="仿宋" w:hAnsi="仿宋" w:eastAsia="仿宋" w:cs="仿宋"/>
                <w:kern w:val="0"/>
                <w:sz w:val="24"/>
                <w:szCs w:val="24"/>
              </w:rPr>
            </w:pPr>
            <w:r>
              <w:rPr>
                <w:rFonts w:hint="eastAsia" w:ascii="仿宋" w:hAnsi="仿宋" w:eastAsia="仿宋" w:cs="仿宋"/>
                <w:b/>
                <w:bCs/>
                <w:kern w:val="0"/>
                <w:sz w:val="24"/>
                <w:szCs w:val="24"/>
              </w:rPr>
              <w:t>四、权重：0.04</w:t>
            </w:r>
          </w:p>
        </w:tc>
        <w:tc>
          <w:tcPr>
            <w:tcW w:w="952" w:type="pct"/>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设备设施运行管理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sz w:val="24"/>
                <w:szCs w:val="24"/>
              </w:rPr>
              <w:t>.</w:t>
            </w:r>
            <w:r>
              <w:rPr>
                <w:rFonts w:hint="eastAsia" w:ascii="仿宋" w:hAnsi="仿宋" w:eastAsia="仿宋" w:cs="仿宋"/>
                <w:sz w:val="24"/>
                <w:szCs w:val="24"/>
              </w:rPr>
              <w:t>制订生产设施安全管理制度。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Cs/>
                <w:sz w:val="24"/>
                <w:szCs w:val="24"/>
              </w:rPr>
              <w:t>.</w:t>
            </w:r>
            <w:r>
              <w:rPr>
                <w:rFonts w:hint="eastAsia" w:ascii="仿宋" w:hAnsi="仿宋" w:eastAsia="仿宋" w:cs="仿宋"/>
                <w:sz w:val="24"/>
                <w:szCs w:val="24"/>
              </w:rPr>
              <w:t>建立生产设施台帐。</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3</w:t>
            </w:r>
            <w:r>
              <w:rPr>
                <w:rFonts w:hint="eastAsia" w:ascii="仿宋" w:hAnsi="仿宋" w:eastAsia="仿宋" w:cs="仿宋"/>
                <w:bCs/>
                <w:sz w:val="24"/>
                <w:szCs w:val="24"/>
              </w:rPr>
              <w:t>.</w:t>
            </w:r>
            <w:r>
              <w:rPr>
                <w:rFonts w:hint="eastAsia" w:ascii="仿宋" w:hAnsi="仿宋" w:eastAsia="仿宋" w:cs="仿宋"/>
                <w:sz w:val="24"/>
                <w:szCs w:val="24"/>
              </w:rPr>
              <w:t>各种安全设施应有专人负责管理，定期检查和维护保养并落实到人。安全设施应编入设备检修计划，定期检修。安全设施不准随意拆除、挪用或弃置不用，因检修拆除的，检修完毕后应立即复原。生活垃圾运输车辆根据《生活垃圾运输车辆管理技术规范（DBJ440100/T 270-2016）》及法律法规相关规定进行安全生产管理。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4.根据危险因素的种类、特性，在车间、库房等作业场所设置相应的安全设施、设备，并按照国家标准和国家有关规定进行维护、保养，保证符合安全运行要求。</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5</w:t>
            </w:r>
            <w:r>
              <w:rPr>
                <w:rFonts w:hint="eastAsia" w:ascii="仿宋" w:hAnsi="仿宋" w:eastAsia="仿宋" w:cs="仿宋"/>
                <w:bCs/>
                <w:sz w:val="24"/>
                <w:szCs w:val="24"/>
              </w:rPr>
              <w:t>.</w:t>
            </w:r>
            <w:r>
              <w:rPr>
                <w:rFonts w:hint="eastAsia" w:ascii="仿宋" w:hAnsi="仿宋" w:eastAsia="仿宋" w:cs="仿宋"/>
                <w:sz w:val="24"/>
                <w:szCs w:val="24"/>
              </w:rPr>
              <w:t>建立特种设备台帐和档案，定期检验，证件齐全，在质量技术监督局备案。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Cs/>
                <w:sz w:val="24"/>
                <w:szCs w:val="24"/>
              </w:rPr>
              <w:t>.</w:t>
            </w:r>
            <w:r>
              <w:rPr>
                <w:rFonts w:hint="eastAsia" w:ascii="仿宋" w:hAnsi="仿宋" w:eastAsia="仿宋" w:cs="仿宋"/>
                <w:sz w:val="24"/>
                <w:szCs w:val="24"/>
              </w:rPr>
              <w:t>制定监视和测量设备管理制度，建立监视和测量设备台帐，定期进行校准和维护，并保存校准和维护活动的记录。</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7.生产机械、设备要进行档案管理、报废记录、和进行车辆配件接受情况，制作特种特备台账、检查记录（修理厂提供）。</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left="198"/>
              <w:rPr>
                <w:rFonts w:hint="eastAsia" w:ascii="仿宋" w:hAnsi="仿宋" w:eastAsia="仿宋" w:cs="仿宋"/>
                <w:sz w:val="24"/>
                <w:szCs w:val="24"/>
              </w:rPr>
            </w:pPr>
            <w:r>
              <w:rPr>
                <w:rFonts w:hint="eastAsia" w:ascii="仿宋" w:hAnsi="仿宋" w:eastAsia="仿宋" w:cs="仿宋"/>
                <w:sz w:val="24"/>
                <w:szCs w:val="24"/>
              </w:rPr>
              <w:t>每一项5分。</w:t>
            </w:r>
          </w:p>
          <w:p>
            <w:pPr>
              <w:numPr>
                <w:ilvl w:val="0"/>
                <w:numId w:val="5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本项3分。查文本，缺一项内容扣1分。</w:t>
            </w:r>
          </w:p>
          <w:p>
            <w:pPr>
              <w:numPr>
                <w:ilvl w:val="0"/>
                <w:numId w:val="5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本项3分。查台帐，缺一种设施扣0.5分。</w:t>
            </w:r>
          </w:p>
          <w:p>
            <w:pPr>
              <w:numPr>
                <w:ilvl w:val="0"/>
                <w:numId w:val="5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本项5分。查定置管理图，无专人负责扣2分，漏一项扣1分。未定期检修扣2分。随意拆除、挪用或弃置不用扣3分。未立即复原扣2分。扣完为止。</w:t>
            </w:r>
          </w:p>
          <w:p>
            <w:pPr>
              <w:numPr>
                <w:ilvl w:val="0"/>
                <w:numId w:val="5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本项4分。未设置相应的安全设施、设备，每项扣2分，未进行维护、保养，每项扣1分，扣完为止。</w:t>
            </w:r>
          </w:p>
          <w:p>
            <w:pPr>
              <w:numPr>
                <w:ilvl w:val="0"/>
                <w:numId w:val="55"/>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本项10分。未建立特种设备台帐和档案扣4分，未备案扣2分。未定期检验，每种扣2分。证件不全或过期，每种扣2分。</w:t>
            </w:r>
          </w:p>
          <w:p>
            <w:pPr>
              <w:numPr>
                <w:ilvl w:val="0"/>
                <w:numId w:val="55"/>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本项5分。无监视和测量设备管理制度，扣3分。无监视和测量设备台帐，扣2分。未定期进行校准和维护，每种扣1分。扣完为止。无报废记录，扣1分。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5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生产设施安全管理制度、生产设施台帐。</w:t>
            </w:r>
          </w:p>
          <w:p>
            <w:pPr>
              <w:numPr>
                <w:ilvl w:val="0"/>
                <w:numId w:val="5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定置管理图、特种设备台帐和档案。</w:t>
            </w:r>
          </w:p>
          <w:p>
            <w:pPr>
              <w:numPr>
                <w:ilvl w:val="0"/>
                <w:numId w:val="5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监视和测量设备管理制度。</w:t>
            </w:r>
          </w:p>
          <w:p>
            <w:pPr>
              <w:spacing w:line="360" w:lineRule="auto"/>
              <w:ind w:left="260"/>
              <w:rPr>
                <w:rFonts w:hint="eastAsia" w:ascii="仿宋" w:hAnsi="仿宋" w:eastAsia="仿宋" w:cs="仿宋"/>
                <w:b/>
                <w:bCs/>
                <w:sz w:val="24"/>
                <w:szCs w:val="24"/>
              </w:rPr>
            </w:pPr>
            <w:r>
              <w:rPr>
                <w:rFonts w:hint="eastAsia" w:ascii="仿宋" w:hAnsi="仿宋" w:eastAsia="仿宋" w:cs="仿宋"/>
                <w:b/>
                <w:bCs/>
                <w:sz w:val="24"/>
                <w:szCs w:val="24"/>
              </w:rPr>
              <w:t>查现场：</w:t>
            </w:r>
          </w:p>
          <w:p>
            <w:pPr>
              <w:numPr>
                <w:ilvl w:val="0"/>
                <w:numId w:val="5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检查相应的安全设备、设施的维护、保养情况。</w:t>
            </w:r>
          </w:p>
          <w:p>
            <w:pPr>
              <w:numPr>
                <w:ilvl w:val="0"/>
                <w:numId w:val="5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监视和测量设备定期校准和维护情况。</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noWrap w:val="0"/>
            <w:vAlign w:val="top"/>
          </w:tcPr>
          <w:p>
            <w:pPr>
              <w:spacing w:line="360" w:lineRule="auto"/>
              <w:ind w:left="264"/>
              <w:rPr>
                <w:rFonts w:hint="eastAsia" w:ascii="仿宋" w:hAnsi="仿宋" w:eastAsia="仿宋" w:cs="仿宋"/>
                <w:sz w:val="24"/>
                <w:szCs w:val="24"/>
              </w:rPr>
            </w:pPr>
          </w:p>
        </w:tc>
        <w:tc>
          <w:tcPr>
            <w:tcW w:w="408" w:type="pct"/>
            <w:noWrap w:val="0"/>
            <w:vAlign w:val="top"/>
          </w:tcPr>
          <w:p>
            <w:pPr>
              <w:spacing w:line="360" w:lineRule="auto"/>
              <w:ind w:left="264"/>
              <w:rPr>
                <w:rFonts w:hint="eastAsia" w:ascii="仿宋" w:hAnsi="仿宋" w:eastAsia="仿宋" w:cs="仿宋"/>
                <w:sz w:val="24"/>
                <w:szCs w:val="24"/>
              </w:rPr>
            </w:pPr>
          </w:p>
        </w:tc>
        <w:tc>
          <w:tcPr>
            <w:tcW w:w="288" w:type="pct"/>
            <w:noWrap w:val="0"/>
            <w:vAlign w:val="top"/>
          </w:tcPr>
          <w:p>
            <w:pPr>
              <w:spacing w:line="360" w:lineRule="auto"/>
              <w:ind w:left="264"/>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人员管理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落实进出制度，设立值班室和值班人员；建立人员出入登记管理、外来人人员出入登记管理及车辆出入登记管理。</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落实领导值班带班和安全管理人员巡检制度，制定环卫作业单位负责人值班代班计划，安全管理人员按时对环卫作业单位安全生产情况进行巡检，并记录。</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明确岗位达标活动内容、要求，每月开展岗位达标活动不少于1次，促进从业人员熟练掌握本岗位安全职责、操作规程、安全风险及管控措施、应急处置措施等，而且活动有负责人，有内容、有记录；企业负责人每季度至少参加1次活动，并在班组活动记录上签字。</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每一项扣6分。</w:t>
            </w:r>
          </w:p>
          <w:p>
            <w:pPr>
              <w:numPr>
                <w:ilvl w:val="0"/>
                <w:numId w:val="5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未按规定设定值班室的，扣6分。</w:t>
            </w:r>
          </w:p>
          <w:p>
            <w:pPr>
              <w:numPr>
                <w:ilvl w:val="0"/>
                <w:numId w:val="5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未分别设立登记簿的，少一个扣1分。</w:t>
            </w:r>
          </w:p>
          <w:p>
            <w:pPr>
              <w:numPr>
                <w:ilvl w:val="0"/>
                <w:numId w:val="5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登记与实际不相符的，一处扣1分。</w:t>
            </w:r>
          </w:p>
          <w:p>
            <w:pPr>
              <w:numPr>
                <w:ilvl w:val="0"/>
                <w:numId w:val="5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值班代班、安全巡检记录不完备的，一处扣分；没有记录的，扣6分。</w:t>
            </w:r>
          </w:p>
          <w:p>
            <w:pPr>
              <w:numPr>
                <w:ilvl w:val="0"/>
                <w:numId w:val="5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岗位达标活动的记录不符合要求的，一处扣2分，没有记录的，扣10分。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5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值班记录登记。</w:t>
            </w:r>
          </w:p>
          <w:p>
            <w:pPr>
              <w:numPr>
                <w:ilvl w:val="0"/>
                <w:numId w:val="5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领导值班带班安排表及值班带班记录，安全巡检记录。</w:t>
            </w:r>
          </w:p>
          <w:p>
            <w:pPr>
              <w:numPr>
                <w:ilvl w:val="0"/>
                <w:numId w:val="5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岗位达标活动记录。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门卫值班登记制度落实情况。</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2"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检维修</w:t>
            </w:r>
          </w:p>
        </w:tc>
        <w:tc>
          <w:tcPr>
            <w:tcW w:w="2289" w:type="pct"/>
            <w:gridSpan w:val="2"/>
            <w:noWrap w:val="0"/>
            <w:vAlign w:val="center"/>
          </w:tcPr>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一、达标内容</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建立生产设施安全检维修管理制度，明确检维修时机和频次。</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制定检维修计划。</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在进行检维修前，应对检维修作业进行风险评价，采取有效的控制措施控制风险。生活垃圾运输车辆根据《生活垃圾运输车辆管理技术规范（DBJ440100/T 270-2016）》及法律法规相关规定进行安全生产维修、监测。</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对检维修作业现场进行安全管理。</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带电设备的维修应按《用电安全导则（GB/T13869）》的要求进行，应由具有电工作业资格的专人负责维修保养。</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进行设备维修需临时使用明火或从事易产生火花作业时，应制定安全措施，由企业有关负责人审查签发动火作业证。</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rPr>
              <w:t>场管理人员检查符合要求后方可动火作业，动火作业过程中应有专人进行现场监护。</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8.</w:t>
            </w:r>
            <w:r>
              <w:rPr>
                <w:rFonts w:hint="eastAsia" w:ascii="仿宋" w:hAnsi="仿宋" w:eastAsia="仿宋" w:cs="仿宋"/>
                <w:b w:val="0"/>
                <w:bCs w:val="0"/>
                <w:sz w:val="24"/>
                <w:szCs w:val="24"/>
              </w:rPr>
              <w:t>经维修后的电气装置应重新确认其符合相应的环境要求和使用等级要求。</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二、检查标准</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每一项2.8分。</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查文本，每项不符合扣1分。</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无检维修计划扣5分。</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未进行风险评价，每次扣2分，控制措施有缺陷，每次扣1分，扣完为止。</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未按有关规定进行现场管理，每发现一项不符合扣1分，扣完为止。</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检修前，未将含药危险品清理的，一处扣5分。</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动火作业票不符合要求的，一处扣2分。</w:t>
            </w:r>
          </w:p>
          <w:p>
            <w:pPr>
              <w:numPr>
                <w:ilvl w:val="0"/>
                <w:numId w:val="6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检修人员作业资格证不符合要求的，一处扣2分。</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三、自评/检查方法</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查资料：</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1.</w:t>
            </w:r>
            <w:r>
              <w:rPr>
                <w:rFonts w:hint="eastAsia" w:ascii="仿宋" w:hAnsi="仿宋" w:eastAsia="仿宋" w:cs="仿宋"/>
                <w:b w:val="0"/>
                <w:bCs w:val="0"/>
                <w:sz w:val="24"/>
                <w:szCs w:val="24"/>
              </w:rPr>
              <w:t>动火作业票。</w:t>
            </w:r>
          </w:p>
          <w:p>
            <w:pPr>
              <w:numPr>
                <w:ilvl w:val="0"/>
                <w:numId w:val="0"/>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相关检修人员的作业资格。</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询问：岗位或检修人员设备设施检修的相关要求。</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四、权重:0.02</w:t>
            </w:r>
          </w:p>
        </w:tc>
        <w:tc>
          <w:tcPr>
            <w:tcW w:w="952" w:type="pct"/>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拆除</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与报废</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1.建立设备设施验收和设备设施拆除、报废的管理制度。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w:t>
            </w:r>
            <w:r>
              <w:rPr>
                <w:rFonts w:hint="eastAsia" w:ascii="仿宋" w:hAnsi="仿宋" w:eastAsia="仿宋" w:cs="仿宋"/>
                <w:sz w:val="24"/>
                <w:szCs w:val="24"/>
              </w:rPr>
              <w:t>对拆除作业进行风险评价，制定拆除计划或方案。</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3.凡拆除的容器、设备和管道内仍存有危险化学品的，应先清洗干净，验收合格后方可报废。</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每一项3.3分。</w:t>
            </w:r>
          </w:p>
          <w:p>
            <w:pPr>
              <w:numPr>
                <w:ilvl w:val="0"/>
                <w:numId w:val="6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本项2分。无文本，扣2分。内容不符合，每项扣0.5分，扣完为止。</w:t>
            </w:r>
          </w:p>
          <w:p>
            <w:pPr>
              <w:numPr>
                <w:ilvl w:val="0"/>
                <w:numId w:val="6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本项4分。查拆除计划或方案，未进行风险评价扣2分，控制措施有缺陷，扣1分，扣完为止。</w:t>
            </w:r>
          </w:p>
          <w:p>
            <w:pPr>
              <w:numPr>
                <w:ilvl w:val="0"/>
                <w:numId w:val="6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本项4分。查验收记录，未进行验收，每次扣2分。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6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设备设施验收和设备设施拆除、报废的管理制度。</w:t>
            </w:r>
          </w:p>
          <w:p>
            <w:pPr>
              <w:numPr>
                <w:ilvl w:val="0"/>
                <w:numId w:val="62"/>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拆除计划或方案、风险评价。</w:t>
            </w:r>
          </w:p>
          <w:p>
            <w:pPr>
              <w:numPr>
                <w:ilvl w:val="0"/>
                <w:numId w:val="62"/>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拆除的容器、设备和管道合格验收记录。</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w:t>
            </w:r>
          </w:p>
        </w:tc>
        <w:tc>
          <w:tcPr>
            <w:tcW w:w="952" w:type="pct"/>
            <w:noWrap w:val="0"/>
            <w:vAlign w:val="top"/>
          </w:tcPr>
          <w:p>
            <w:pPr>
              <w:spacing w:line="360" w:lineRule="auto"/>
              <w:ind w:left="198"/>
              <w:rPr>
                <w:rFonts w:hint="eastAsia" w:ascii="仿宋" w:hAnsi="仿宋" w:eastAsia="仿宋" w:cs="仿宋"/>
                <w:sz w:val="24"/>
                <w:szCs w:val="24"/>
              </w:rPr>
            </w:pPr>
          </w:p>
        </w:tc>
        <w:tc>
          <w:tcPr>
            <w:tcW w:w="408" w:type="pct"/>
            <w:noWrap w:val="0"/>
            <w:vAlign w:val="top"/>
          </w:tcPr>
          <w:p>
            <w:pPr>
              <w:spacing w:line="360" w:lineRule="auto"/>
              <w:ind w:left="198"/>
              <w:rPr>
                <w:rFonts w:hint="eastAsia" w:ascii="仿宋" w:hAnsi="仿宋" w:eastAsia="仿宋" w:cs="仿宋"/>
                <w:sz w:val="24"/>
                <w:szCs w:val="24"/>
              </w:rPr>
            </w:pPr>
          </w:p>
        </w:tc>
        <w:tc>
          <w:tcPr>
            <w:tcW w:w="288" w:type="pct"/>
            <w:noWrap w:val="0"/>
            <w:vAlign w:val="top"/>
          </w:tcPr>
          <w:p>
            <w:pPr>
              <w:spacing w:line="360" w:lineRule="auto"/>
              <w:ind w:left="198"/>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七、作业安全</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（100分，权重10%）</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现场管理</w:t>
            </w:r>
          </w:p>
          <w:p>
            <w:pPr>
              <w:pStyle w:val="4"/>
              <w:spacing w:line="360" w:lineRule="auto"/>
              <w:rPr>
                <w:rFonts w:hint="eastAsia" w:ascii="仿宋" w:hAnsi="仿宋" w:eastAsia="仿宋" w:cs="仿宋"/>
                <w:sz w:val="24"/>
                <w:szCs w:val="24"/>
              </w:rPr>
            </w:pPr>
            <w:r>
              <w:rPr>
                <w:rFonts w:hint="eastAsia" w:ascii="仿宋" w:hAnsi="仿宋" w:eastAsia="仿宋" w:cs="仿宋"/>
                <w:sz w:val="24"/>
                <w:szCs w:val="24"/>
              </w:rPr>
              <w:t>（详见附件二、三）</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jc w:val="left"/>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vMerge w:val="restart"/>
            <w:noWrap w:val="0"/>
            <w:vAlign w:val="top"/>
          </w:tcPr>
          <w:p>
            <w:pPr>
              <w:widowControl/>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《安全生产法》</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第24、28、33、35、46条</w:t>
            </w:r>
          </w:p>
        </w:tc>
        <w:tc>
          <w:tcPr>
            <w:tcW w:w="408" w:type="pct"/>
            <w:noWrap w:val="0"/>
            <w:vAlign w:val="top"/>
          </w:tcPr>
          <w:p>
            <w:pPr>
              <w:widowControl/>
              <w:spacing w:line="360" w:lineRule="auto"/>
              <w:jc w:val="center"/>
              <w:rPr>
                <w:rFonts w:hint="eastAsia" w:ascii="仿宋" w:hAnsi="仿宋" w:eastAsia="仿宋" w:cs="仿宋"/>
                <w:kern w:val="0"/>
                <w:sz w:val="24"/>
                <w:szCs w:val="24"/>
              </w:rPr>
            </w:pPr>
          </w:p>
        </w:tc>
        <w:tc>
          <w:tcPr>
            <w:tcW w:w="288" w:type="pct"/>
            <w:noWrap w:val="0"/>
            <w:vAlign w:val="top"/>
          </w:tcPr>
          <w:p>
            <w:pPr>
              <w:widowControl/>
              <w:spacing w:line="360" w:lineRule="auto"/>
              <w:jc w:val="center"/>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作业行为管理</w:t>
            </w:r>
          </w:p>
          <w:p>
            <w:pPr>
              <w:pStyle w:val="4"/>
              <w:spacing w:line="360" w:lineRule="auto"/>
              <w:jc w:val="center"/>
              <w:rPr>
                <w:rFonts w:hint="eastAsia" w:ascii="仿宋" w:hAnsi="仿宋" w:eastAsia="仿宋" w:cs="仿宋"/>
                <w:sz w:val="24"/>
                <w:szCs w:val="24"/>
              </w:rPr>
            </w:pPr>
            <w:r>
              <w:rPr>
                <w:rFonts w:hint="eastAsia" w:ascii="仿宋" w:hAnsi="仿宋" w:eastAsia="仿宋" w:cs="仿宋"/>
                <w:sz w:val="24"/>
                <w:szCs w:val="24"/>
              </w:rPr>
              <w:t>（详见附件二、三）*</w:t>
            </w:r>
          </w:p>
        </w:tc>
        <w:tc>
          <w:tcPr>
            <w:tcW w:w="2289" w:type="pct"/>
            <w:gridSpan w:val="2"/>
            <w:noWrap w:val="0"/>
            <w:vAlign w:val="center"/>
          </w:tcPr>
          <w:p>
            <w:pPr>
              <w:numPr>
                <w:ilvl w:val="0"/>
                <w:numId w:val="6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numPr>
                <w:ilvl w:val="0"/>
                <w:numId w:val="63"/>
              </w:num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vMerge w:val="continue"/>
            <w:noWrap w:val="0"/>
            <w:vAlign w:val="top"/>
          </w:tcPr>
          <w:p>
            <w:pPr>
              <w:spacing w:line="360" w:lineRule="auto"/>
              <w:rPr>
                <w:rFonts w:hint="eastAsia" w:ascii="仿宋" w:hAnsi="仿宋" w:eastAsia="仿宋" w:cs="仿宋"/>
                <w:sz w:val="24"/>
                <w:szCs w:val="24"/>
              </w:rPr>
            </w:pPr>
          </w:p>
        </w:tc>
        <w:tc>
          <w:tcPr>
            <w:tcW w:w="408" w:type="pct"/>
            <w:noWrap w:val="0"/>
            <w:vAlign w:val="top"/>
          </w:tcPr>
          <w:p>
            <w:pPr>
              <w:spacing w:line="360" w:lineRule="auto"/>
              <w:rPr>
                <w:rFonts w:hint="eastAsia" w:ascii="仿宋" w:hAnsi="仿宋" w:eastAsia="仿宋" w:cs="仿宋"/>
                <w:sz w:val="24"/>
                <w:szCs w:val="24"/>
              </w:rPr>
            </w:pPr>
          </w:p>
        </w:tc>
        <w:tc>
          <w:tcPr>
            <w:tcW w:w="288" w:type="pct"/>
            <w:noWrap w:val="0"/>
            <w:vAlign w:val="top"/>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警示标志和安全防护</w:t>
            </w:r>
          </w:p>
        </w:tc>
        <w:tc>
          <w:tcPr>
            <w:tcW w:w="2289" w:type="pct"/>
            <w:gridSpan w:val="2"/>
            <w:noWrap w:val="0"/>
            <w:vAlign w:val="top"/>
          </w:tcPr>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一、达标内容</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1.在易燃易爆、有毒有害、高处作业、深水区域场所的适当位置设置警示标志、告知牌、围挡等防护设施。</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2.产生职业危害的环卫作业单位，在醒目位置设置公告栏，公布有关职业防治的规章制度、操作规程、职业危害事故应急救援措施和工作场所职业危害因素检测结果。</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rPr>
              <w:t>在可能产生严重职业危害作业岗位的醒目位置设置警示标志和警示说明，告知产生职业危害的种类、后果、预防及应急救治措施等内容。</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4.环卫一线作业人员应着带有警示标志的工装上岗，并配备必要的劳动防护用品。</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5.在道路清扫、垃圾收集运输、公厕保洁、设备检维修、施工、吊装等作业现场设置警戒区域、警示标志或防护设施。</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6.警示标志管理：</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（1）为从业人员提供符合国家标准或行业标准的劳动防护用品和器具。</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（2）监督、教育从业人员正确佩戴、使用劳动防护用品和器具。</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（3）各种劳动防护用品和器具定点存放，建立台帐，专人看管。</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二、检查标准</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每一项1.25分。</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查现场，未设置警示标志和告示牌扣2分，未设置围挡防护扣2分。</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查文本，未建立制度扣1。</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查现场，未设置告知内容的扣1分，扣完为止。</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查现场，每发现一项不符合扣1分，扣完为止。</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查现场，每发现一项不符合扣1分，扣完为止。</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未按规定为从业人员配备劳动防护用品和器具的，一项扣0.5分。</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从业人员在生产现场未佩戴、使用劳动防护用品和器具的，每人扣0.5分。</w:t>
            </w:r>
          </w:p>
          <w:p>
            <w:pPr>
              <w:numPr>
                <w:ilvl w:val="0"/>
                <w:numId w:val="64"/>
              </w:num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佩戴、使用劳动防护用品和器具不符合要求的，每人扣0.5分。</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三、自评/检查方法</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查资料：劳动防护用品台账。</w:t>
            </w:r>
          </w:p>
          <w:p>
            <w:pPr>
              <w:spacing w:line="360" w:lineRule="auto"/>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查现场：</w:t>
            </w:r>
          </w:p>
          <w:p>
            <w:pPr>
              <w:numPr>
                <w:ilvl w:val="0"/>
                <w:numId w:val="65"/>
              </w:numPr>
              <w:spacing w:line="360" w:lineRule="auto"/>
              <w:ind w:left="0" w:firstLine="200"/>
              <w:rPr>
                <w:rFonts w:hint="eastAsia" w:ascii="仿宋" w:hAnsi="仿宋" w:eastAsia="仿宋" w:cs="仿宋"/>
                <w:b w:val="0"/>
                <w:bCs w:val="0"/>
                <w:sz w:val="24"/>
                <w:szCs w:val="24"/>
              </w:rPr>
            </w:pPr>
            <w:r>
              <w:rPr>
                <w:rFonts w:hint="eastAsia" w:ascii="仿宋" w:hAnsi="仿宋" w:eastAsia="仿宋" w:cs="仿宋"/>
                <w:b w:val="0"/>
                <w:bCs w:val="0"/>
                <w:sz w:val="24"/>
                <w:szCs w:val="24"/>
              </w:rPr>
              <w:t>从业人员配备和使用的劳动防护用品是否符合规定。</w:t>
            </w:r>
          </w:p>
          <w:p>
            <w:pPr>
              <w:numPr>
                <w:ilvl w:val="0"/>
                <w:numId w:val="65"/>
              </w:numPr>
              <w:spacing w:line="360" w:lineRule="auto"/>
              <w:ind w:left="0" w:firstLine="200"/>
              <w:rPr>
                <w:rFonts w:hint="eastAsia" w:ascii="仿宋" w:hAnsi="仿宋" w:eastAsia="仿宋" w:cs="仿宋"/>
                <w:b w:val="0"/>
                <w:bCs w:val="0"/>
                <w:sz w:val="24"/>
                <w:szCs w:val="24"/>
              </w:rPr>
            </w:pPr>
            <w:r>
              <w:rPr>
                <w:rFonts w:hint="eastAsia" w:ascii="仿宋" w:hAnsi="仿宋" w:eastAsia="仿宋" w:cs="仿宋"/>
                <w:b w:val="0"/>
                <w:bCs w:val="0"/>
                <w:sz w:val="24"/>
                <w:szCs w:val="24"/>
              </w:rPr>
              <w:t>从业人员是否能够正确佩戴、使用劳动防护用品和器具。</w:t>
            </w:r>
          </w:p>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四、权重：0.01</w:t>
            </w:r>
          </w:p>
        </w:tc>
        <w:tc>
          <w:tcPr>
            <w:tcW w:w="952" w:type="pct"/>
            <w:vMerge w:val="continue"/>
            <w:noWrap w:val="0"/>
            <w:vAlign w:val="top"/>
          </w:tcPr>
          <w:p>
            <w:pPr>
              <w:spacing w:line="360" w:lineRule="auto"/>
              <w:ind w:left="200"/>
              <w:rPr>
                <w:rFonts w:hint="eastAsia" w:ascii="仿宋" w:hAnsi="仿宋" w:eastAsia="仿宋" w:cs="仿宋"/>
                <w:sz w:val="24"/>
                <w:szCs w:val="24"/>
              </w:rPr>
            </w:pPr>
          </w:p>
        </w:tc>
        <w:tc>
          <w:tcPr>
            <w:tcW w:w="408" w:type="pct"/>
            <w:noWrap w:val="0"/>
            <w:vAlign w:val="top"/>
          </w:tcPr>
          <w:p>
            <w:pPr>
              <w:spacing w:line="360" w:lineRule="auto"/>
              <w:ind w:left="200"/>
              <w:rPr>
                <w:rFonts w:hint="eastAsia" w:ascii="仿宋" w:hAnsi="仿宋" w:eastAsia="仿宋" w:cs="仿宋"/>
                <w:sz w:val="24"/>
                <w:szCs w:val="24"/>
              </w:rPr>
            </w:pPr>
          </w:p>
        </w:tc>
        <w:tc>
          <w:tcPr>
            <w:tcW w:w="288" w:type="pct"/>
            <w:noWrap w:val="0"/>
            <w:vAlign w:val="top"/>
          </w:tcPr>
          <w:p>
            <w:pPr>
              <w:spacing w:line="360" w:lineRule="auto"/>
              <w:ind w:left="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9"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应急危险性工库房管理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建设应用危险性工库房视频监控系统。</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视频监控系统有效。</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操作人员操作熟练。</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危险品生产区、库区各工房、库房的危险等级划分符合《危险化学品仓库建设及储存安全规范（B11755-2010）》的规定。</w:t>
            </w:r>
          </w:p>
          <w:p>
            <w:pPr>
              <w:spacing w:line="360" w:lineRule="auto"/>
              <w:rPr>
                <w:rFonts w:hint="eastAsia" w:ascii="仿宋" w:hAnsi="仿宋" w:eastAsia="仿宋" w:cs="仿宋"/>
                <w:b/>
                <w:bCs/>
                <w:sz w:val="24"/>
                <w:szCs w:val="24"/>
              </w:rPr>
            </w:pPr>
            <w:r>
              <w:rPr>
                <w:rFonts w:hint="eastAsia" w:ascii="仿宋" w:hAnsi="仿宋" w:eastAsia="仿宋" w:cs="仿宋"/>
                <w:sz w:val="24"/>
                <w:szCs w:val="24"/>
              </w:rPr>
              <w:t>各工房、库房的设置与设计图纸一致。</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每一项2.5分。</w:t>
            </w:r>
          </w:p>
          <w:p>
            <w:pPr>
              <w:numPr>
                <w:ilvl w:val="0"/>
                <w:numId w:val="6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未建设应用视频监控系统的，扣2.5分。</w:t>
            </w:r>
          </w:p>
          <w:p>
            <w:pPr>
              <w:numPr>
                <w:ilvl w:val="0"/>
                <w:numId w:val="6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视频监控系统失效超过4小时的，每处扣2.5分。</w:t>
            </w:r>
          </w:p>
          <w:p>
            <w:pPr>
              <w:numPr>
                <w:ilvl w:val="0"/>
                <w:numId w:val="6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操作人员不熟练，扣2.5分。</w:t>
            </w:r>
          </w:p>
          <w:p>
            <w:pPr>
              <w:numPr>
                <w:ilvl w:val="0"/>
                <w:numId w:val="6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危险品生产区、库区各工房、库房等级划分、建筑结构等不符合要求的，一处扣1分。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视频监控系统运行情况。</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各工房、库房与设计图纸的对应情况。</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w:t>
            </w:r>
          </w:p>
        </w:tc>
        <w:tc>
          <w:tcPr>
            <w:tcW w:w="952" w:type="pct"/>
            <w:noWrap w:val="0"/>
            <w:vAlign w:val="top"/>
          </w:tcPr>
          <w:p>
            <w:pPr>
              <w:spacing w:line="360" w:lineRule="auto"/>
              <w:rPr>
                <w:rFonts w:hint="eastAsia" w:ascii="仿宋" w:hAnsi="仿宋" w:eastAsia="仿宋" w:cs="仿宋"/>
                <w:sz w:val="24"/>
                <w:szCs w:val="24"/>
              </w:rPr>
            </w:pPr>
            <w:r>
              <w:rPr>
                <w:rFonts w:hint="eastAsia" w:ascii="仿宋" w:hAnsi="仿宋" w:eastAsia="仿宋" w:cs="仿宋"/>
                <w:spacing w:val="-6"/>
                <w:kern w:val="0"/>
                <w:sz w:val="24"/>
                <w:szCs w:val="24"/>
              </w:rPr>
              <w:t>《安全生产法》第40、41条，《工贸企业有限空间作业安全管理与监督暂行规定》第5条。</w:t>
            </w:r>
          </w:p>
        </w:tc>
        <w:tc>
          <w:tcPr>
            <w:tcW w:w="408" w:type="pct"/>
            <w:noWrap w:val="0"/>
            <w:vAlign w:val="top"/>
          </w:tcPr>
          <w:p>
            <w:pPr>
              <w:spacing w:line="360" w:lineRule="auto"/>
              <w:rPr>
                <w:rFonts w:hint="eastAsia" w:ascii="仿宋" w:hAnsi="仿宋" w:eastAsia="仿宋" w:cs="仿宋"/>
                <w:spacing w:val="-6"/>
                <w:kern w:val="0"/>
                <w:sz w:val="24"/>
                <w:szCs w:val="24"/>
              </w:rPr>
            </w:pPr>
          </w:p>
        </w:tc>
        <w:tc>
          <w:tcPr>
            <w:tcW w:w="288" w:type="pct"/>
            <w:noWrap w:val="0"/>
            <w:vAlign w:val="top"/>
          </w:tcPr>
          <w:p>
            <w:pPr>
              <w:spacing w:line="360" w:lineRule="auto"/>
              <w:rPr>
                <w:rFonts w:hint="eastAsia" w:ascii="仿宋" w:hAnsi="仿宋" w:eastAsia="仿宋" w:cs="仿宋"/>
                <w:spacing w:val="-6"/>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安全生产电子台风险账信息系统的建设</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建立安全生产电子台账管理。</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建立重大危险源监控、安全风险管控和隐患自查自报等信息系统。</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每一项5分。</w:t>
            </w:r>
          </w:p>
          <w:p>
            <w:pPr>
              <w:numPr>
                <w:ilvl w:val="0"/>
                <w:numId w:val="6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未建立相关电子台账的，扣5分。</w:t>
            </w:r>
          </w:p>
          <w:p>
            <w:pPr>
              <w:numPr>
                <w:ilvl w:val="0"/>
                <w:numId w:val="6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未建立相关系统的，一处扣2分。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安全生产电子台账、重大危险源监控系统、安全风险管控和隐患自查自报系统。</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w:t>
            </w:r>
          </w:p>
        </w:tc>
        <w:tc>
          <w:tcPr>
            <w:tcW w:w="952" w:type="pct"/>
            <w:vMerge w:val="restar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《安全生产法》第37、38条</w:t>
            </w:r>
          </w:p>
        </w:tc>
        <w:tc>
          <w:tcPr>
            <w:tcW w:w="408" w:type="pct"/>
            <w:noWrap w:val="0"/>
            <w:vAlign w:val="top"/>
          </w:tcPr>
          <w:p>
            <w:pPr>
              <w:spacing w:line="360" w:lineRule="auto"/>
              <w:ind w:firstLine="480" w:firstLineChars="200"/>
              <w:rPr>
                <w:rFonts w:hint="eastAsia" w:ascii="仿宋" w:hAnsi="仿宋" w:eastAsia="仿宋" w:cs="仿宋"/>
                <w:kern w:val="0"/>
                <w:sz w:val="24"/>
                <w:szCs w:val="24"/>
              </w:rPr>
            </w:pPr>
          </w:p>
        </w:tc>
        <w:tc>
          <w:tcPr>
            <w:tcW w:w="288" w:type="pct"/>
            <w:noWrap w:val="0"/>
            <w:vAlign w:val="top"/>
          </w:tcPr>
          <w:p>
            <w:pPr>
              <w:spacing w:line="360" w:lineRule="auto"/>
              <w:ind w:firstLine="480" w:firstLineChars="20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3"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相关方</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管理</w:t>
            </w:r>
          </w:p>
        </w:tc>
        <w:tc>
          <w:tcPr>
            <w:tcW w:w="2289" w:type="pct"/>
            <w:gridSpan w:val="2"/>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bCs/>
                <w:color w:val="333333"/>
                <w:sz w:val="24"/>
                <w:szCs w:val="24"/>
              </w:rPr>
            </w:pPr>
            <w:r>
              <w:rPr>
                <w:rFonts w:hint="eastAsia" w:ascii="仿宋" w:hAnsi="仿宋" w:eastAsia="仿宋" w:cs="仿宋"/>
                <w:bCs/>
                <w:sz w:val="24"/>
                <w:szCs w:val="24"/>
              </w:rPr>
              <w:t>1.</w:t>
            </w:r>
            <w:r>
              <w:rPr>
                <w:rFonts w:hint="eastAsia" w:ascii="仿宋" w:hAnsi="仿宋" w:eastAsia="仿宋" w:cs="仿宋"/>
                <w:bCs/>
                <w:color w:val="333333"/>
                <w:sz w:val="24"/>
                <w:szCs w:val="24"/>
              </w:rPr>
              <w:t>取得城市生活垃圾经营性清扫、收集、运输服务许可证的企业，应妥善保管，不得伪造、涂改、出租、出借、出卖、转让。</w:t>
            </w:r>
          </w:p>
          <w:p>
            <w:pPr>
              <w:spacing w:line="360" w:lineRule="auto"/>
              <w:ind w:firstLine="480" w:firstLineChars="200"/>
              <w:rPr>
                <w:rFonts w:hint="eastAsia" w:ascii="仿宋" w:hAnsi="仿宋" w:eastAsia="仿宋" w:cs="仿宋"/>
                <w:bCs/>
                <w:color w:val="333333"/>
                <w:sz w:val="24"/>
                <w:szCs w:val="24"/>
              </w:rPr>
            </w:pPr>
            <w:r>
              <w:rPr>
                <w:rFonts w:hint="eastAsia" w:ascii="仿宋" w:hAnsi="仿宋" w:eastAsia="仿宋" w:cs="仿宋"/>
                <w:bCs/>
                <w:color w:val="333333"/>
                <w:sz w:val="24"/>
                <w:szCs w:val="24"/>
              </w:rPr>
              <w:t>2.生产经营项目、场所、设备发包或者出租给不具备安全生产条件或者相应资质的单位或者个人。生产经营项目、场所发包或者出租给其他单位的，应当与承包单位、承租单位签订专门的安全生产管理协议，或者在承包合同、租赁合同中约定各自的安全生产管理职责；对承包单位、承租单位的安全生产工作统一协调、管理，定期进行安全检查，发现安全问题的，应当及时督促整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color w:val="333333"/>
                <w:sz w:val="24"/>
                <w:szCs w:val="24"/>
              </w:rPr>
              <w:t>3.两个以上环卫作业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每一项5分。</w:t>
            </w:r>
          </w:p>
          <w:p>
            <w:pPr>
              <w:numPr>
                <w:ilvl w:val="0"/>
                <w:numId w:val="68"/>
              </w:num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无资质、擅自</w:t>
            </w:r>
            <w:r>
              <w:rPr>
                <w:rFonts w:hint="eastAsia" w:ascii="仿宋" w:hAnsi="仿宋" w:eastAsia="仿宋" w:cs="仿宋"/>
                <w:color w:val="333333"/>
                <w:sz w:val="24"/>
                <w:szCs w:val="24"/>
                <w:shd w:val="clear" w:color="auto" w:fill="FFFFFF"/>
              </w:rPr>
              <w:t>伪造、涂改、出租、出借、出卖、转让服务许可证</w:t>
            </w:r>
            <w:r>
              <w:rPr>
                <w:rFonts w:hint="eastAsia" w:ascii="仿宋" w:hAnsi="仿宋" w:eastAsia="仿宋" w:cs="仿宋"/>
                <w:bCs/>
                <w:sz w:val="24"/>
                <w:szCs w:val="24"/>
              </w:rPr>
              <w:t>扣5分。未按要求与承包方签订安全协议书扣3分。未建立档案扣3分。档案不全，每项不符合扣1分。无名录扣1分，名录不全，每缺一个环卫作业单位扣1分，扣完为止。其他每项不符合扣1分。</w:t>
            </w:r>
          </w:p>
          <w:p>
            <w:pPr>
              <w:numPr>
                <w:ilvl w:val="0"/>
                <w:numId w:val="6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未按要求签订安全管理协议的扣5分。指定的专职安全生产管理人员，未参与安全检查与协调的扣5分。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查资料：</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1.与承包方签订安全协议书。</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2.订安全管理协议。</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四、权重：0.01</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4"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八、隐患排查与治理（90分，权重9%）</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隐患排查</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1.建立隐患排查识别的管理制度，明确责任部门、人员、方法。</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2.制定隐患排查工作方案，明确排查的目的、范围、方法和要求等。</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3.对隐患进行分析评估，确定隐患等级，登记建档。</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4.隐患排查的范围应包括所有与生产经营场所、环境、人员、设备设施和活动。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5.采用综合检查、专业检查、季节性检查、节假日检查、日常检查等方式进行隐患排查工作。组织有关专业技术人员对排查出的隐患分类分级，按隐患等级进行记录，建立隐患信息档案。</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6.将“一线三排”作为考核巡查、事故调查的重点。</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每一项5分。</w:t>
            </w:r>
          </w:p>
          <w:p>
            <w:pPr>
              <w:numPr>
                <w:ilvl w:val="0"/>
                <w:numId w:val="6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查文本，未建立管理制度扣5分。责任不明确，每发现一项不符合扣2分，扣完为止。</w:t>
            </w:r>
          </w:p>
          <w:p>
            <w:pPr>
              <w:numPr>
                <w:ilvl w:val="0"/>
                <w:numId w:val="6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查文本，未制定排查方案扣5分。</w:t>
            </w:r>
          </w:p>
          <w:p>
            <w:pPr>
              <w:numPr>
                <w:ilvl w:val="0"/>
                <w:numId w:val="6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查文本，未建立隐患排查识别档案扣5分，档案内容不全，每发现一项不符合扣2分，扣完为止。</w:t>
            </w:r>
          </w:p>
          <w:p>
            <w:pPr>
              <w:numPr>
                <w:ilvl w:val="0"/>
                <w:numId w:val="69"/>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查文本。对照项目，检查范围每缺少一项扣2分，扣完为止。</w:t>
            </w:r>
          </w:p>
          <w:p>
            <w:pPr>
              <w:numPr>
                <w:ilvl w:val="0"/>
                <w:numId w:val="69"/>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查文本，未将“一线三排”纳入检查、调查标准，扣5分。</w:t>
            </w:r>
          </w:p>
          <w:p>
            <w:pPr>
              <w:numPr>
                <w:ilvl w:val="0"/>
                <w:numId w:val="69"/>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查文本，每缺少一项扣2分，扣完为止。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1.隐患治理记录。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2.重大隐患治理方案及记录。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3.各类隐患排查记录。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4.隐患信息档案。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5.隐患治理制度及责任制</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6.隐患排查治理标准或排查清单。</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vMerge w:val="restar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《安全生产法》第38条、《广东省安委会办公室 广东省应急管理厅关于全面推行一线三排工作机制的通知》</w:t>
            </w:r>
          </w:p>
        </w:tc>
        <w:tc>
          <w:tcPr>
            <w:tcW w:w="408" w:type="pct"/>
            <w:noWrap w:val="0"/>
            <w:vAlign w:val="top"/>
          </w:tcPr>
          <w:p>
            <w:pPr>
              <w:spacing w:line="360" w:lineRule="auto"/>
              <w:ind w:firstLine="480" w:firstLineChars="200"/>
              <w:rPr>
                <w:rFonts w:hint="eastAsia" w:ascii="仿宋" w:hAnsi="仿宋" w:eastAsia="仿宋" w:cs="仿宋"/>
                <w:kern w:val="0"/>
                <w:sz w:val="24"/>
                <w:szCs w:val="24"/>
              </w:rPr>
            </w:pPr>
          </w:p>
        </w:tc>
        <w:tc>
          <w:tcPr>
            <w:tcW w:w="288" w:type="pct"/>
            <w:noWrap w:val="0"/>
            <w:vAlign w:val="top"/>
          </w:tcPr>
          <w:p>
            <w:pPr>
              <w:spacing w:line="360" w:lineRule="auto"/>
              <w:ind w:firstLine="480" w:firstLineChars="20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隐患排序</w:t>
            </w:r>
          </w:p>
        </w:tc>
        <w:tc>
          <w:tcPr>
            <w:tcW w:w="2289" w:type="pct"/>
            <w:gridSpan w:val="2"/>
            <w:noWrap w:val="0"/>
            <w:vAlign w:val="top"/>
          </w:tcPr>
          <w:p>
            <w:pPr>
              <w:numPr>
                <w:ilvl w:val="0"/>
                <w:numId w:val="70"/>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numPr>
                <w:ilvl w:val="0"/>
                <w:numId w:val="7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定期对本单位深入开展风险隐患排查治理的分析研判工作。</w:t>
            </w:r>
          </w:p>
          <w:p>
            <w:pPr>
              <w:numPr>
                <w:ilvl w:val="0"/>
                <w:numId w:val="7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建立风险隐患分级标准、常态化的风险隐患研判机制。</w:t>
            </w:r>
          </w:p>
          <w:p>
            <w:pPr>
              <w:numPr>
                <w:ilvl w:val="0"/>
                <w:numId w:val="7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对重大风险、重大隐患进行分区分类管控和监管。</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查文本，无隐患分析文件，扣2分。</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查文本，未建立风险隐患分级标准、常态化的风险隐患研判机制，扣2分。</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查现场，未对重大风险、重大隐患进行分区分类管控和监管，扣2分。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查文本：</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隐患分析文件。</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风险隐患分级标准表。</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对重大风险、重大隐患场所及设备进行分区分类管理。</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四、权重:0.02</w:t>
            </w:r>
          </w:p>
        </w:tc>
        <w:tc>
          <w:tcPr>
            <w:tcW w:w="952" w:type="pct"/>
            <w:vMerge w:val="continue"/>
            <w:noWrap w:val="0"/>
            <w:vAlign w:val="top"/>
          </w:tcPr>
          <w:p>
            <w:pPr>
              <w:spacing w:line="360" w:lineRule="auto"/>
              <w:rPr>
                <w:rFonts w:hint="eastAsia" w:ascii="仿宋" w:hAnsi="仿宋" w:eastAsia="仿宋" w:cs="仿宋"/>
                <w:sz w:val="24"/>
                <w:szCs w:val="24"/>
              </w:rPr>
            </w:pPr>
          </w:p>
        </w:tc>
        <w:tc>
          <w:tcPr>
            <w:tcW w:w="408" w:type="pct"/>
            <w:noWrap w:val="0"/>
            <w:vAlign w:val="top"/>
          </w:tcPr>
          <w:p>
            <w:pPr>
              <w:spacing w:line="360" w:lineRule="auto"/>
              <w:rPr>
                <w:rFonts w:hint="eastAsia" w:ascii="仿宋" w:hAnsi="仿宋" w:eastAsia="仿宋" w:cs="仿宋"/>
                <w:sz w:val="24"/>
                <w:szCs w:val="24"/>
              </w:rPr>
            </w:pPr>
          </w:p>
        </w:tc>
        <w:tc>
          <w:tcPr>
            <w:tcW w:w="288" w:type="pct"/>
            <w:noWrap w:val="0"/>
            <w:vAlign w:val="top"/>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2"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隐患治理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1.对排查出的一般隐患，应立即进行整改，不能立即整改的，应按照“四定”（即定措施、定负责人、定资金来源、定完成期限）要求限期进行整改。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对重大事故隐患在治理前应采取临时控制措施，并制定应急预案。隐患治理措施应包括工程技术措施、管理措施、教育措施、防护措施、应急措施等；此外还应书面向环卫作业单位隶属的直接主管部门和当地政府报告。</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3.在隐患治理完成后对治理情况进行验证和效果评估。建立隐患排查治理验收档案，形成闭环管理。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4.环卫作业单位应根据生产状况及隐患排查治理情况，采用技术手段、仪器仪表及管理方法等，建立安全预警系统。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w:t>
            </w:r>
            <w:r>
              <w:rPr>
                <w:rFonts w:hint="eastAsia" w:ascii="仿宋" w:hAnsi="仿宋" w:eastAsia="仿宋" w:cs="仿宋"/>
                <w:sz w:val="24"/>
                <w:szCs w:val="24"/>
              </w:rPr>
              <w:t>每月统计分析隐患排查治理验收情况，向从业人员通报。</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6</w:t>
            </w:r>
            <w:r>
              <w:rPr>
                <w:rFonts w:hint="eastAsia" w:ascii="仿宋" w:hAnsi="仿宋" w:eastAsia="仿宋" w:cs="仿宋"/>
                <w:sz w:val="24"/>
                <w:szCs w:val="24"/>
                <w:lang w:val="en-US" w:eastAsia="zh-CN"/>
              </w:rPr>
              <w:t>.</w:t>
            </w:r>
            <w:r>
              <w:rPr>
                <w:rFonts w:hint="eastAsia" w:ascii="仿宋" w:hAnsi="仿宋" w:eastAsia="仿宋" w:cs="仿宋"/>
                <w:sz w:val="24"/>
                <w:szCs w:val="24"/>
              </w:rPr>
              <w:t>定期向当地安全监管部门报送隐患特别是重大隐患排查治理验收情况。</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sz w:val="24"/>
                <w:szCs w:val="24"/>
              </w:rPr>
              <w:t>整改不及时的，每处扣2分；隐患整改未做到“四定”的，每次扣2分。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重大事故隐患未采取临时措施和制定应急预案的，不得分；未向主管部门和当地政府报告的，不得分。无重大事故隐患预案的，按缺项处理。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查文本，隐患治理分析不全扣5分。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查问题，未建立预警系统扣10分。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未向当地安全监管部门报送的，扣0.5分。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隐患排查治理验收情况通报不符合规定的，一项扣0.5分。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从业人员不掌握本岗位隐患排查治理验收情况的，每人扣1分。</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未进行隐患治理评估的，未进行隐患治理验收的，或隐患排查治理验收档案不健全的，一项扣1分。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w:t>
            </w:r>
          </w:p>
          <w:p>
            <w:pPr>
              <w:numPr>
                <w:ilvl w:val="0"/>
                <w:numId w:val="7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隐患排查治理验收情况的通报材料。</w:t>
            </w:r>
          </w:p>
          <w:p>
            <w:pPr>
              <w:numPr>
                <w:ilvl w:val="0"/>
                <w:numId w:val="7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隐患排查治理验收情况的报送材料。</w:t>
            </w:r>
          </w:p>
          <w:p>
            <w:pPr>
              <w:numPr>
                <w:ilvl w:val="0"/>
                <w:numId w:val="7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隐患治理评估、验收记录。</w:t>
            </w:r>
          </w:p>
          <w:p>
            <w:pPr>
              <w:numPr>
                <w:ilvl w:val="0"/>
                <w:numId w:val="7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隐患排查治理验收档案。</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从业人员对本岗位隐患排查治理验收的掌握情况。</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四、权重:0.02</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2" w:hRule="atLeast"/>
          <w:jc w:val="center"/>
        </w:trPr>
        <w:tc>
          <w:tcPr>
            <w:tcW w:w="441" w:type="pct"/>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隐患排解</w:t>
            </w:r>
          </w:p>
        </w:tc>
        <w:tc>
          <w:tcPr>
            <w:tcW w:w="2289" w:type="pct"/>
            <w:gridSpan w:val="2"/>
            <w:noWrap w:val="0"/>
            <w:vAlign w:val="top"/>
          </w:tcPr>
          <w:p>
            <w:pPr>
              <w:numPr>
                <w:ilvl w:val="0"/>
                <w:numId w:val="73"/>
              </w:numPr>
              <w:spacing w:line="360" w:lineRule="auto"/>
              <w:rPr>
                <w:rFonts w:hint="eastAsia" w:ascii="仿宋" w:hAnsi="仿宋" w:eastAsia="仿宋" w:cs="仿宋"/>
                <w:b/>
                <w:bCs/>
                <w:sz w:val="24"/>
                <w:szCs w:val="24"/>
              </w:rPr>
            </w:pPr>
            <w:r>
              <w:rPr>
                <w:rFonts w:hint="eastAsia" w:ascii="仿宋" w:hAnsi="仿宋" w:eastAsia="仿宋" w:cs="仿宋"/>
                <w:b/>
                <w:bCs/>
                <w:sz w:val="24"/>
                <w:szCs w:val="24"/>
              </w:rPr>
              <w:t>达标内容</w:t>
            </w:r>
          </w:p>
          <w:p>
            <w:pPr>
              <w:numPr>
                <w:ilvl w:val="0"/>
                <w:numId w:val="7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对排查出来的重大风险、重大隐患严格执行挂牌警示。</w:t>
            </w:r>
          </w:p>
          <w:p>
            <w:pPr>
              <w:numPr>
                <w:ilvl w:val="0"/>
                <w:numId w:val="7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落实风险管控“四早”措施。</w:t>
            </w:r>
          </w:p>
          <w:p>
            <w:pPr>
              <w:numPr>
                <w:ilvl w:val="0"/>
                <w:numId w:val="7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落实隐患整治“五到位”行动。</w:t>
            </w:r>
          </w:p>
          <w:p>
            <w:pPr>
              <w:numPr>
                <w:ilvl w:val="0"/>
                <w:numId w:val="73"/>
              </w:numPr>
              <w:spacing w:line="360" w:lineRule="auto"/>
              <w:ind w:left="0" w:leftChars="0" w:firstLine="0" w:firstLineChars="0"/>
              <w:rPr>
                <w:rFonts w:hint="eastAsia" w:ascii="仿宋" w:hAnsi="仿宋" w:eastAsia="仿宋" w:cs="仿宋"/>
                <w:b/>
                <w:bCs/>
                <w:sz w:val="24"/>
                <w:szCs w:val="24"/>
              </w:rPr>
            </w:pPr>
            <w:r>
              <w:rPr>
                <w:rFonts w:hint="eastAsia" w:ascii="仿宋" w:hAnsi="仿宋" w:eastAsia="仿宋" w:cs="仿宋"/>
                <w:b/>
                <w:bCs/>
                <w:sz w:val="24"/>
                <w:szCs w:val="24"/>
              </w:rPr>
              <w:t>检查标准</w:t>
            </w:r>
          </w:p>
          <w:p>
            <w:pPr>
              <w:numPr>
                <w:ilvl w:val="0"/>
                <w:numId w:val="75"/>
              </w:numPr>
              <w:spacing w:line="360" w:lineRule="auto"/>
              <w:ind w:leftChars="0" w:firstLine="480" w:firstLineChars="200"/>
              <w:rPr>
                <w:rFonts w:hint="eastAsia" w:ascii="仿宋" w:hAnsi="仿宋" w:eastAsia="仿宋" w:cs="仿宋"/>
                <w:sz w:val="24"/>
                <w:szCs w:val="24"/>
              </w:rPr>
            </w:pPr>
            <w:r>
              <w:rPr>
                <w:rFonts w:hint="eastAsia" w:ascii="仿宋" w:hAnsi="仿宋" w:eastAsia="仿宋" w:cs="仿宋"/>
                <w:sz w:val="24"/>
                <w:szCs w:val="24"/>
              </w:rPr>
              <w:t>查现场：有无对重大风险、重大隐患严格进行挂牌警示，扣2分。</w:t>
            </w:r>
          </w:p>
          <w:p>
            <w:pPr>
              <w:numPr>
                <w:ilvl w:val="0"/>
                <w:numId w:val="75"/>
              </w:numPr>
              <w:spacing w:line="360" w:lineRule="auto"/>
              <w:ind w:leftChars="0" w:firstLine="480" w:firstLineChars="200"/>
              <w:rPr>
                <w:rFonts w:hint="eastAsia" w:ascii="仿宋" w:hAnsi="仿宋" w:eastAsia="仿宋" w:cs="仿宋"/>
                <w:b/>
                <w:bCs/>
                <w:sz w:val="24"/>
                <w:szCs w:val="24"/>
              </w:rPr>
            </w:pPr>
            <w:r>
              <w:rPr>
                <w:rFonts w:hint="eastAsia" w:ascii="仿宋" w:hAnsi="仿宋" w:eastAsia="仿宋" w:cs="仿宋"/>
                <w:sz w:val="24"/>
                <w:szCs w:val="24"/>
              </w:rPr>
              <w:t>查文本，未落实风险管控“四早”措施、“五到位”行动，扣2分。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重大风险、重大隐患警示</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查文本：</w:t>
            </w:r>
            <w:r>
              <w:rPr>
                <w:rFonts w:hint="eastAsia" w:ascii="仿宋" w:hAnsi="仿宋" w:eastAsia="仿宋" w:cs="仿宋"/>
                <w:sz w:val="24"/>
                <w:szCs w:val="24"/>
              </w:rPr>
              <w:t>隐患检查记录表。</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四、权重:0.02</w:t>
            </w:r>
          </w:p>
        </w:tc>
        <w:tc>
          <w:tcPr>
            <w:tcW w:w="952" w:type="pc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《广东省安委会办公室 广东省应急管理厅关于全面推行一线三排工作机制的通知》</w:t>
            </w: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r>
              <w:rPr>
                <w:rFonts w:hint="eastAsia" w:ascii="仿宋" w:hAnsi="仿宋" w:eastAsia="仿宋" w:cs="仿宋"/>
                <w:b/>
                <w:sz w:val="24"/>
                <w:szCs w:val="24"/>
              </w:rPr>
              <w:t>九、职业健康（70分，权重7%）</w:t>
            </w:r>
          </w:p>
          <w:p>
            <w:pPr>
              <w:spacing w:line="360" w:lineRule="auto"/>
              <w:rPr>
                <w:rFonts w:hint="eastAsia" w:ascii="仿宋" w:hAnsi="仿宋" w:eastAsia="仿宋" w:cs="仿宋"/>
                <w:b/>
                <w:sz w:val="24"/>
                <w:szCs w:val="24"/>
              </w:rPr>
            </w:pPr>
          </w:p>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职业健康管理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1.建立职业健康的管理制度。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2.按有关要求，为员工提供符合职业健康要求的工作环境和条件。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3.对从事可能导致职业危害的从业人员，组织上岗前、在岗期间和离岗时的职业</w:t>
            </w:r>
            <w:r>
              <w:rPr>
                <w:rFonts w:hint="eastAsia" w:ascii="仿宋" w:hAnsi="仿宋" w:eastAsia="仿宋" w:cs="仿宋"/>
                <w:sz w:val="24"/>
                <w:szCs w:val="24"/>
              </w:rPr>
              <w:t>健康检查</w:t>
            </w:r>
            <w:r>
              <w:rPr>
                <w:rFonts w:hint="eastAsia" w:ascii="仿宋" w:hAnsi="仿宋" w:eastAsia="仿宋" w:cs="仿宋"/>
                <w:kern w:val="0"/>
                <w:sz w:val="24"/>
                <w:szCs w:val="24"/>
              </w:rPr>
              <w:t>。将检查结果告知从业人员并存档，对检查异常的人员及时就医并定期复查，建立健全职业卫生档案和员工健康监护档案。</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4.对职业病患者按规定给予及时的治疗、疗养。对患有职业禁忌症的，应及时调整到合适岗位。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5.定期识别作业场所职业危害因素，并定期进行检测，将检测结果公布、存入档案。</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6.对可能发生急性职业危害的有毒、有害工作场所，应当设置报警装置，制定应急预案，配置现场急救用品和必要的泄险区。</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7.指定专人负责保管、定期校验和维护各种防护用具，确保其处于正常状态。</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8.按《职业病危害项目申报办法》（总局令第48号）规定，及时、如实地向当地安监部门申报生产过程存在的职业危害因素。</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1-7、9项每一项5分，第8项10分。</w:t>
            </w:r>
          </w:p>
          <w:p>
            <w:pPr>
              <w:numPr>
                <w:ilvl w:val="0"/>
                <w:numId w:val="7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查文本，未建立制度扣5分。</w:t>
            </w:r>
          </w:p>
          <w:p>
            <w:pPr>
              <w:numPr>
                <w:ilvl w:val="0"/>
                <w:numId w:val="7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查现场，每发现一项不符合扣1分，扣完为止。</w:t>
            </w:r>
          </w:p>
          <w:p>
            <w:pPr>
              <w:numPr>
                <w:ilvl w:val="0"/>
                <w:numId w:val="7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查文本，未建立档案扣5分。</w:t>
            </w:r>
          </w:p>
          <w:p>
            <w:pPr>
              <w:numPr>
                <w:ilvl w:val="0"/>
                <w:numId w:val="7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询问职工，每发现一项不符合扣1分，扣完为止。</w:t>
            </w:r>
          </w:p>
          <w:p>
            <w:pPr>
              <w:numPr>
                <w:ilvl w:val="0"/>
                <w:numId w:val="7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查文本，未建立作业场所检测档案扣5分。</w:t>
            </w:r>
          </w:p>
          <w:p>
            <w:pPr>
              <w:numPr>
                <w:ilvl w:val="0"/>
                <w:numId w:val="7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查文本，未制定应急预案扣3分。查现场，未设置报警装置扣2分，扣完为止。</w:t>
            </w:r>
          </w:p>
          <w:p>
            <w:pPr>
              <w:numPr>
                <w:ilvl w:val="0"/>
                <w:numId w:val="7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未指定专人扣3分。防护用具保管不善，每发现一项不符合扣1分，扣完为止。</w:t>
            </w:r>
          </w:p>
          <w:p>
            <w:pPr>
              <w:numPr>
                <w:ilvl w:val="0"/>
                <w:numId w:val="7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未申报的，不得分；申报内容不全的，每缺少一类扣1分。</w:t>
            </w:r>
          </w:p>
          <w:p>
            <w:pPr>
              <w:numPr>
                <w:ilvl w:val="0"/>
                <w:numId w:val="7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未按照规定对人员定期进行职业健康检查的，每人扣0.5分。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从业人员职业健康检查档案。</w:t>
            </w:r>
          </w:p>
          <w:p>
            <w:pPr>
              <w:spacing w:line="360" w:lineRule="auto"/>
              <w:rPr>
                <w:rFonts w:hint="eastAsia" w:ascii="仿宋" w:hAnsi="仿宋" w:eastAsia="仿宋" w:cs="仿宋"/>
                <w:b/>
                <w:sz w:val="24"/>
                <w:szCs w:val="24"/>
              </w:rPr>
            </w:pPr>
            <w:r>
              <w:rPr>
                <w:rFonts w:hint="eastAsia" w:ascii="仿宋" w:hAnsi="仿宋" w:eastAsia="仿宋" w:cs="仿宋"/>
                <w:b/>
                <w:bCs/>
                <w:sz w:val="24"/>
                <w:szCs w:val="24"/>
              </w:rPr>
              <w:t>四、权重：0.045</w:t>
            </w:r>
          </w:p>
        </w:tc>
        <w:tc>
          <w:tcPr>
            <w:tcW w:w="952" w:type="pct"/>
            <w:vMerge w:val="restar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《安全生产法》第4条</w:t>
            </w:r>
          </w:p>
        </w:tc>
        <w:tc>
          <w:tcPr>
            <w:tcW w:w="408" w:type="pct"/>
            <w:noWrap w:val="0"/>
            <w:vAlign w:val="top"/>
          </w:tcPr>
          <w:p>
            <w:pPr>
              <w:spacing w:line="360" w:lineRule="auto"/>
              <w:ind w:firstLine="480" w:firstLineChars="200"/>
              <w:rPr>
                <w:rFonts w:hint="eastAsia" w:ascii="仿宋" w:hAnsi="仿宋" w:eastAsia="仿宋" w:cs="仿宋"/>
                <w:kern w:val="0"/>
                <w:sz w:val="24"/>
                <w:szCs w:val="24"/>
              </w:rPr>
            </w:pPr>
          </w:p>
        </w:tc>
        <w:tc>
          <w:tcPr>
            <w:tcW w:w="288" w:type="pct"/>
            <w:noWrap w:val="0"/>
            <w:vAlign w:val="top"/>
          </w:tcPr>
          <w:p>
            <w:pPr>
              <w:spacing w:line="360" w:lineRule="auto"/>
              <w:ind w:firstLine="480" w:firstLineChars="20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职业危害告知和警示</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与从业人员订立劳动合同（含聘用合同）时，应将保障从业人员劳动安全和工作过程中可能产生的职业危害及其后果、职业危害防护措施、待遇等如实以书面形式告知从业人员，并在劳动合同中写明。</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对员工及相关方宣传和培训生产过程中的职业危害、预防和应急处理措施。</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在醒目位置设置公告栏，公布有关职业病防治的规章制度、操作规程、职业病危害事故应急措施和工作场所职业病危害因素检测结果。</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岗前进行职业病危害防护措施培训。</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不得安排有职业禁忌的从业人员从事禁忌作业，不得安排未经职业健康检查的从业人员从事有职业病危害的作业。</w:t>
            </w:r>
          </w:p>
          <w:p>
            <w:pPr>
              <w:widowControl/>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对存在或产生职业病危害的工作场所、作业岗位、设备、设施，应在醒目位置设置警示标识和中文警示说明。</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每一项1.4分。</w:t>
            </w:r>
          </w:p>
          <w:p>
            <w:pPr>
              <w:numPr>
                <w:ilvl w:val="0"/>
                <w:numId w:val="7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查文本，未告知扣5分。</w:t>
            </w:r>
          </w:p>
          <w:p>
            <w:pPr>
              <w:numPr>
                <w:ilvl w:val="0"/>
                <w:numId w:val="7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询问员工，每缺少一人扣1分，扣完为止。</w:t>
            </w:r>
          </w:p>
          <w:p>
            <w:pPr>
              <w:numPr>
                <w:ilvl w:val="0"/>
                <w:numId w:val="7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未设置公告栏的，扣0.5分</w:t>
            </w:r>
            <w:r>
              <w:rPr>
                <w:rFonts w:hint="eastAsia" w:ascii="仿宋" w:hAnsi="仿宋" w:eastAsia="仿宋" w:cs="仿宋"/>
                <w:sz w:val="24"/>
                <w:szCs w:val="24"/>
                <w:lang w:eastAsia="zh-CN"/>
              </w:rPr>
              <w:t>。</w:t>
            </w:r>
          </w:p>
          <w:p>
            <w:pPr>
              <w:numPr>
                <w:ilvl w:val="0"/>
                <w:numId w:val="7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无相关培训记录的，扣0.5分。</w:t>
            </w:r>
          </w:p>
          <w:p>
            <w:pPr>
              <w:numPr>
                <w:ilvl w:val="0"/>
                <w:numId w:val="7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未设置警示标志和中文警示说明的，一处扣0.5分。</w:t>
            </w:r>
          </w:p>
          <w:p>
            <w:pPr>
              <w:numPr>
                <w:ilvl w:val="0"/>
                <w:numId w:val="7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安排有职业禁忌的从业人员从事禁忌作业的，每人扣0.5分。</w:t>
            </w:r>
          </w:p>
          <w:p>
            <w:pPr>
              <w:numPr>
                <w:ilvl w:val="0"/>
                <w:numId w:val="7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未进行岗前职业健康检查的，每人扣0.5分。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岗前培训记录。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现场公告栏、警示标识。</w:t>
            </w:r>
          </w:p>
          <w:p>
            <w:pPr>
              <w:widowControl/>
              <w:spacing w:line="360" w:lineRule="auto"/>
              <w:rPr>
                <w:rFonts w:hint="eastAsia" w:ascii="仿宋" w:hAnsi="仿宋" w:eastAsia="仿宋" w:cs="仿宋"/>
                <w:kern w:val="0"/>
                <w:sz w:val="24"/>
                <w:szCs w:val="24"/>
              </w:rPr>
            </w:pPr>
            <w:r>
              <w:rPr>
                <w:rFonts w:hint="eastAsia" w:ascii="仿宋" w:hAnsi="仿宋" w:eastAsia="仿宋" w:cs="仿宋"/>
                <w:b/>
                <w:bCs/>
                <w:sz w:val="24"/>
                <w:szCs w:val="24"/>
              </w:rPr>
              <w:t>四、权重：0.01</w:t>
            </w:r>
          </w:p>
        </w:tc>
        <w:tc>
          <w:tcPr>
            <w:tcW w:w="952" w:type="pct"/>
            <w:vMerge w:val="continue"/>
            <w:noWrap w:val="0"/>
            <w:vAlign w:val="top"/>
          </w:tcPr>
          <w:p>
            <w:pPr>
              <w:spacing w:line="360" w:lineRule="auto"/>
              <w:ind w:firstLine="480" w:firstLineChars="200"/>
              <w:rPr>
                <w:rFonts w:hint="eastAsia" w:ascii="仿宋" w:hAnsi="仿宋" w:eastAsia="仿宋" w:cs="仿宋"/>
                <w:sz w:val="24"/>
                <w:szCs w:val="24"/>
              </w:rPr>
            </w:pPr>
          </w:p>
        </w:tc>
        <w:tc>
          <w:tcPr>
            <w:tcW w:w="408" w:type="pct"/>
            <w:noWrap w:val="0"/>
            <w:vAlign w:val="top"/>
          </w:tcPr>
          <w:p>
            <w:pPr>
              <w:spacing w:line="360" w:lineRule="auto"/>
              <w:ind w:firstLine="480" w:firstLineChars="200"/>
              <w:rPr>
                <w:rFonts w:hint="eastAsia" w:ascii="仿宋" w:hAnsi="仿宋" w:eastAsia="仿宋" w:cs="仿宋"/>
                <w:sz w:val="24"/>
                <w:szCs w:val="24"/>
              </w:rPr>
            </w:pPr>
          </w:p>
        </w:tc>
        <w:tc>
          <w:tcPr>
            <w:tcW w:w="288" w:type="pct"/>
            <w:noWrap w:val="0"/>
            <w:vAlign w:val="top"/>
          </w:tcPr>
          <w:p>
            <w:pPr>
              <w:spacing w:line="360" w:lineRule="auto"/>
              <w:ind w:firstLine="480" w:firstLineChars="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2"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劳动防护用品</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1.根据接触危害的种类、强度，为从业人员提供符合国家标准或者行业标准的个体防护用品和器具，并监督、教育从业人员按照使用规则佩戴、使用。</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2.各种防护器具应定点存放在安全、方便的地方，并有专人负责保管，定期校验和维护，每次校验后应记录或铅封，主管人员应经常检查。</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3.建立职业卫生防护设施及个体防护用品管理台帐，加强对劳动防护用品使用情况的检查监督，凡不按规定使用劳动防护用品者不得上岗作业。</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4.监督、教育从业人员正确佩戴、使用劳动防护用品和器具。</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每一项2.1分。</w:t>
            </w:r>
          </w:p>
          <w:p>
            <w:pPr>
              <w:numPr>
                <w:ilvl w:val="0"/>
                <w:numId w:val="7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询问职工，未发放劳保用品每缺少一人扣1分，扣完为止。</w:t>
            </w:r>
          </w:p>
          <w:p>
            <w:pPr>
              <w:numPr>
                <w:ilvl w:val="0"/>
                <w:numId w:val="7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查现场，每发现一项不符合扣1分，扣完为止。</w:t>
            </w:r>
          </w:p>
          <w:p>
            <w:pPr>
              <w:numPr>
                <w:ilvl w:val="0"/>
                <w:numId w:val="7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查文本，未建立台账扣3分。询问职工，每发现一人不符合扣1分，扣完为止。</w:t>
            </w:r>
          </w:p>
          <w:p>
            <w:pPr>
              <w:numPr>
                <w:ilvl w:val="0"/>
                <w:numId w:val="78"/>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未定点存放、建立台帐、专人看管的，扣0.5分。</w:t>
            </w:r>
          </w:p>
          <w:p>
            <w:pPr>
              <w:numPr>
                <w:ilvl w:val="0"/>
                <w:numId w:val="7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未按规定为从业人员配备劳动防护用品和器具的，一项扣0.5分。</w:t>
            </w:r>
          </w:p>
          <w:p>
            <w:pPr>
              <w:numPr>
                <w:ilvl w:val="0"/>
                <w:numId w:val="7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从业人员在生产现场未佩戴、使用劳动防护用品和器具的，每人扣0.5分。</w:t>
            </w:r>
          </w:p>
          <w:p>
            <w:pPr>
              <w:numPr>
                <w:ilvl w:val="0"/>
                <w:numId w:val="78"/>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佩戴、使用劳动防护用品和器具不符合要求的，每人扣0.5分。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劳动防护用品台账。</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查现场：</w:t>
            </w:r>
          </w:p>
          <w:p>
            <w:pPr>
              <w:numPr>
                <w:ilvl w:val="0"/>
                <w:numId w:val="7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从业人员配备和使用的劳动防护用品是否符合规定。</w:t>
            </w:r>
          </w:p>
          <w:p>
            <w:pPr>
              <w:numPr>
                <w:ilvl w:val="0"/>
                <w:numId w:val="79"/>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从业人员是否能够正确佩戴、使用劳动防护用具和器具。</w:t>
            </w:r>
          </w:p>
          <w:p>
            <w:pPr>
              <w:spacing w:line="360" w:lineRule="auto"/>
              <w:rPr>
                <w:rFonts w:hint="eastAsia" w:ascii="仿宋" w:hAnsi="仿宋" w:eastAsia="仿宋" w:cs="仿宋"/>
                <w:kern w:val="0"/>
                <w:sz w:val="24"/>
                <w:szCs w:val="24"/>
              </w:rPr>
            </w:pPr>
            <w:r>
              <w:rPr>
                <w:rFonts w:hint="eastAsia" w:ascii="仿宋" w:hAnsi="仿宋" w:eastAsia="仿宋" w:cs="仿宋"/>
                <w:b/>
                <w:bCs/>
                <w:sz w:val="24"/>
                <w:szCs w:val="24"/>
              </w:rPr>
              <w:t>四、权重：0.015</w:t>
            </w:r>
          </w:p>
        </w:tc>
        <w:tc>
          <w:tcPr>
            <w:tcW w:w="952" w:type="pct"/>
            <w:vMerge w:val="continue"/>
            <w:noWrap w:val="0"/>
            <w:vAlign w:val="top"/>
          </w:tcPr>
          <w:p>
            <w:pPr>
              <w:spacing w:line="360" w:lineRule="auto"/>
              <w:ind w:left="200"/>
              <w:rPr>
                <w:rFonts w:hint="eastAsia" w:ascii="仿宋" w:hAnsi="仿宋" w:eastAsia="仿宋" w:cs="仿宋"/>
                <w:sz w:val="24"/>
                <w:szCs w:val="24"/>
              </w:rPr>
            </w:pPr>
          </w:p>
        </w:tc>
        <w:tc>
          <w:tcPr>
            <w:tcW w:w="408" w:type="pct"/>
            <w:noWrap w:val="0"/>
            <w:vAlign w:val="top"/>
          </w:tcPr>
          <w:p>
            <w:pPr>
              <w:spacing w:line="360" w:lineRule="auto"/>
              <w:ind w:left="200"/>
              <w:rPr>
                <w:rFonts w:hint="eastAsia" w:ascii="仿宋" w:hAnsi="仿宋" w:eastAsia="仿宋" w:cs="仿宋"/>
                <w:sz w:val="24"/>
                <w:szCs w:val="24"/>
              </w:rPr>
            </w:pPr>
          </w:p>
        </w:tc>
        <w:tc>
          <w:tcPr>
            <w:tcW w:w="288" w:type="pct"/>
            <w:noWrap w:val="0"/>
            <w:vAlign w:val="top"/>
          </w:tcPr>
          <w:p>
            <w:pPr>
              <w:spacing w:line="360" w:lineRule="auto"/>
              <w:ind w:left="20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十、应急救援</w:t>
            </w:r>
          </w:p>
          <w:p>
            <w:pPr>
              <w:spacing w:line="360" w:lineRule="auto"/>
              <w:rPr>
                <w:rFonts w:hint="eastAsia" w:ascii="仿宋" w:hAnsi="仿宋" w:eastAsia="仿宋" w:cs="仿宋"/>
                <w:b/>
                <w:sz w:val="24"/>
                <w:szCs w:val="24"/>
              </w:rPr>
            </w:pPr>
            <w:r>
              <w:rPr>
                <w:rFonts w:hint="eastAsia" w:ascii="仿宋" w:hAnsi="仿宋" w:eastAsia="仿宋" w:cs="仿宋"/>
                <w:b/>
                <w:sz w:val="24"/>
                <w:szCs w:val="24"/>
              </w:rPr>
              <w:t>（110分，权重11%）</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应急机构和队伍</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1.事故应急救援制度。</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2.按相关规定指定负责安全生产应急管理工作的机构或专职人员。</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3.建立与本单位生产安全特点相适应的专兼职应急救援队伍或指定专兼职应急救援人员。</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4.定期组织专兼职应急救援队伍和人员进行训练。</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每一项10分。</w:t>
            </w:r>
          </w:p>
          <w:p>
            <w:pPr>
              <w:numPr>
                <w:ilvl w:val="0"/>
                <w:numId w:val="8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查文本，未建立应急救援制度扣10分。</w:t>
            </w:r>
          </w:p>
          <w:p>
            <w:pPr>
              <w:numPr>
                <w:ilvl w:val="0"/>
                <w:numId w:val="8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无管理机构扣10分，未制定专职人员扣5分。</w:t>
            </w:r>
          </w:p>
          <w:p>
            <w:pPr>
              <w:numPr>
                <w:ilvl w:val="0"/>
                <w:numId w:val="8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无应急救援队伍扣10分。</w:t>
            </w:r>
          </w:p>
          <w:p>
            <w:pPr>
              <w:numPr>
                <w:ilvl w:val="0"/>
                <w:numId w:val="8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未组织应急演练扣10分。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应急救援制度。</w:t>
            </w:r>
          </w:p>
          <w:p>
            <w:pPr>
              <w:spacing w:line="360" w:lineRule="auto"/>
              <w:rPr>
                <w:rFonts w:hint="eastAsia" w:ascii="仿宋" w:hAnsi="仿宋" w:eastAsia="仿宋" w:cs="仿宋"/>
                <w:kern w:val="0"/>
                <w:sz w:val="24"/>
                <w:szCs w:val="24"/>
              </w:rPr>
            </w:pPr>
            <w:r>
              <w:rPr>
                <w:rFonts w:hint="eastAsia" w:ascii="仿宋" w:hAnsi="仿宋" w:eastAsia="仿宋" w:cs="仿宋"/>
                <w:b/>
                <w:bCs/>
                <w:sz w:val="24"/>
                <w:szCs w:val="24"/>
              </w:rPr>
              <w:t>四、权重:0.04</w:t>
            </w:r>
          </w:p>
        </w:tc>
        <w:tc>
          <w:tcPr>
            <w:tcW w:w="952" w:type="pct"/>
            <w:vMerge w:val="restart"/>
            <w:noWrap w:val="0"/>
            <w:vAlign w:val="top"/>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《安全生产法》第32、37、38、43、78条，《生产安全事故应急条例》第8条，《生产安全事故应急预案管理办法》第33条</w:t>
            </w:r>
          </w:p>
        </w:tc>
        <w:tc>
          <w:tcPr>
            <w:tcW w:w="408" w:type="pct"/>
            <w:noWrap w:val="0"/>
            <w:vAlign w:val="top"/>
          </w:tcPr>
          <w:p>
            <w:pPr>
              <w:spacing w:line="360" w:lineRule="auto"/>
              <w:jc w:val="center"/>
              <w:rPr>
                <w:rFonts w:hint="eastAsia" w:ascii="仿宋" w:hAnsi="仿宋" w:eastAsia="仿宋" w:cs="仿宋"/>
                <w:sz w:val="24"/>
                <w:szCs w:val="24"/>
              </w:rPr>
            </w:pPr>
          </w:p>
        </w:tc>
        <w:tc>
          <w:tcPr>
            <w:tcW w:w="288" w:type="pct"/>
            <w:noWrap w:val="0"/>
            <w:vAlign w:val="top"/>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应急预案</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1.制定符合《生产经营单位生产安全事故应急预案编制导则（GB/T29639）》规定，结合环卫作业单位实际制定生产安全事故应急预案，包括综合预案、专项应急预案和处置方案。定期评估进行修改完善。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生产安全事故应急预案的评审、发布、培训、演练和修订应符合《生产安全事故应急演练指南（AQ/T9007）》、《生产安全事故应急演练评估规范（AQ/T9009）》、《生产安全事故应急预案管理办法》（国家安全监管总局令第88号）。</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3.根据有关规定将应急预案报当地主管部门备案，并通报有关应急协作单位。</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每一项10分。</w:t>
            </w:r>
          </w:p>
          <w:p>
            <w:pPr>
              <w:numPr>
                <w:ilvl w:val="0"/>
                <w:numId w:val="8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查文本，未制定应急预案扣10分，预案内容每缺少一项扣2分，扣完为止。</w:t>
            </w:r>
          </w:p>
          <w:p>
            <w:pPr>
              <w:numPr>
                <w:ilvl w:val="0"/>
                <w:numId w:val="8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查文本，每发现一项不符合扣2分，扣完为止。</w:t>
            </w:r>
          </w:p>
          <w:p>
            <w:pPr>
              <w:numPr>
                <w:ilvl w:val="0"/>
                <w:numId w:val="81"/>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未上报主管部门扣5分，未通报协作单位扣5分。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8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应急救援组织、队伍设置文件及其人员名单。</w:t>
            </w:r>
          </w:p>
          <w:p>
            <w:pPr>
              <w:numPr>
                <w:ilvl w:val="0"/>
                <w:numId w:val="82"/>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应急预案。</w:t>
            </w:r>
          </w:p>
          <w:p>
            <w:pPr>
              <w:numPr>
                <w:ilvl w:val="0"/>
                <w:numId w:val="82"/>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应急演练开展记录及其评估。</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vMerge w:val="continue"/>
            <w:noWrap w:val="0"/>
            <w:vAlign w:val="top"/>
          </w:tcPr>
          <w:p>
            <w:pPr>
              <w:spacing w:line="360" w:lineRule="auto"/>
              <w:jc w:val="center"/>
              <w:rPr>
                <w:rFonts w:hint="eastAsia" w:ascii="仿宋" w:hAnsi="仿宋" w:eastAsia="仿宋" w:cs="仿宋"/>
                <w:sz w:val="24"/>
                <w:szCs w:val="24"/>
              </w:rPr>
            </w:pPr>
          </w:p>
        </w:tc>
        <w:tc>
          <w:tcPr>
            <w:tcW w:w="408" w:type="pct"/>
            <w:noWrap w:val="0"/>
            <w:vAlign w:val="top"/>
          </w:tcPr>
          <w:p>
            <w:pPr>
              <w:spacing w:line="360" w:lineRule="auto"/>
              <w:jc w:val="center"/>
              <w:rPr>
                <w:rFonts w:hint="eastAsia" w:ascii="仿宋" w:hAnsi="仿宋" w:eastAsia="仿宋" w:cs="仿宋"/>
                <w:sz w:val="24"/>
                <w:szCs w:val="24"/>
              </w:rPr>
            </w:pPr>
          </w:p>
        </w:tc>
        <w:tc>
          <w:tcPr>
            <w:tcW w:w="288" w:type="pct"/>
            <w:noWrap w:val="0"/>
            <w:vAlign w:val="top"/>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应急设施</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按应急预案的要求，建立应急设施，配备应急装备，储备应急物资。</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对应急设施、装备和物资进行经常性的检查、维护、保养，确保其完好可靠。</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每一项10分。</w:t>
            </w:r>
          </w:p>
          <w:p>
            <w:pPr>
              <w:numPr>
                <w:ilvl w:val="0"/>
                <w:numId w:val="8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每发现一项不符合扣2分，扣完为止。</w:t>
            </w:r>
          </w:p>
          <w:p>
            <w:pPr>
              <w:numPr>
                <w:ilvl w:val="0"/>
                <w:numId w:val="83"/>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每发现一项不符合扣2分，扣完为止。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left="260"/>
              <w:rPr>
                <w:rFonts w:hint="eastAsia" w:ascii="仿宋" w:hAnsi="仿宋" w:eastAsia="仿宋" w:cs="仿宋"/>
                <w:b/>
                <w:bCs/>
                <w:sz w:val="24"/>
                <w:szCs w:val="24"/>
              </w:rPr>
            </w:pPr>
            <w:r>
              <w:rPr>
                <w:rFonts w:hint="eastAsia" w:ascii="仿宋" w:hAnsi="仿宋" w:eastAsia="仿宋" w:cs="仿宋"/>
                <w:b/>
                <w:bCs/>
                <w:sz w:val="24"/>
                <w:szCs w:val="24"/>
              </w:rPr>
              <w:t>查现场：</w:t>
            </w:r>
            <w:r>
              <w:rPr>
                <w:rFonts w:hint="eastAsia" w:ascii="仿宋" w:hAnsi="仿宋" w:eastAsia="仿宋" w:cs="仿宋"/>
                <w:sz w:val="24"/>
                <w:szCs w:val="24"/>
              </w:rPr>
              <w:t>应急救援设施、装备、物资情况。</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应急物资的管理台帐。</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四、权重：0.02</w:t>
            </w:r>
          </w:p>
        </w:tc>
        <w:tc>
          <w:tcPr>
            <w:tcW w:w="952" w:type="pct"/>
            <w:vMerge w:val="continue"/>
            <w:noWrap w:val="0"/>
            <w:vAlign w:val="top"/>
          </w:tcPr>
          <w:p>
            <w:pPr>
              <w:spacing w:line="360" w:lineRule="auto"/>
              <w:jc w:val="center"/>
              <w:rPr>
                <w:rFonts w:hint="eastAsia" w:ascii="仿宋" w:hAnsi="仿宋" w:eastAsia="仿宋" w:cs="仿宋"/>
                <w:sz w:val="24"/>
                <w:szCs w:val="24"/>
              </w:rPr>
            </w:pPr>
          </w:p>
        </w:tc>
        <w:tc>
          <w:tcPr>
            <w:tcW w:w="408" w:type="pct"/>
            <w:noWrap w:val="0"/>
            <w:vAlign w:val="top"/>
          </w:tcPr>
          <w:p>
            <w:pPr>
              <w:spacing w:line="360" w:lineRule="auto"/>
              <w:jc w:val="center"/>
              <w:rPr>
                <w:rFonts w:hint="eastAsia" w:ascii="仿宋" w:hAnsi="仿宋" w:eastAsia="仿宋" w:cs="仿宋"/>
                <w:sz w:val="24"/>
                <w:szCs w:val="24"/>
              </w:rPr>
            </w:pPr>
          </w:p>
        </w:tc>
        <w:tc>
          <w:tcPr>
            <w:tcW w:w="288" w:type="pct"/>
            <w:noWrap w:val="0"/>
            <w:vAlign w:val="top"/>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应急演练</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1.每年至少组织一次综合应急预案演练或者专项应急预案演练，每半年至少组织一次现场处置方案演练。</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2.对应急演练的效果进行评估。</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每一项5分。</w:t>
            </w:r>
          </w:p>
          <w:p>
            <w:pPr>
              <w:spacing w:line="360" w:lineRule="auto"/>
              <w:ind w:left="198"/>
              <w:rPr>
                <w:rFonts w:hint="eastAsia" w:ascii="仿宋" w:hAnsi="仿宋" w:eastAsia="仿宋" w:cs="仿宋"/>
                <w:b/>
                <w:bCs/>
                <w:sz w:val="24"/>
                <w:szCs w:val="24"/>
              </w:rPr>
            </w:pPr>
            <w:r>
              <w:rPr>
                <w:rFonts w:hint="eastAsia" w:ascii="仿宋" w:hAnsi="仿宋" w:eastAsia="仿宋" w:cs="仿宋"/>
                <w:sz w:val="24"/>
                <w:szCs w:val="24"/>
              </w:rPr>
              <w:t>1.未组织演练扣5分。</w:t>
            </w:r>
          </w:p>
          <w:p>
            <w:pPr>
              <w:spacing w:line="360" w:lineRule="auto"/>
              <w:ind w:left="198"/>
              <w:rPr>
                <w:rFonts w:hint="eastAsia" w:ascii="仿宋" w:hAnsi="仿宋" w:eastAsia="仿宋" w:cs="仿宋"/>
                <w:b/>
                <w:bCs/>
                <w:sz w:val="24"/>
                <w:szCs w:val="24"/>
              </w:rPr>
            </w:pPr>
            <w:r>
              <w:rPr>
                <w:rFonts w:hint="eastAsia" w:ascii="仿宋" w:hAnsi="仿宋" w:eastAsia="仿宋" w:cs="仿宋"/>
                <w:sz w:val="24"/>
                <w:szCs w:val="24"/>
              </w:rPr>
              <w:t>2.未评估扣5分。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应急预案演练或者专项应急预案演练、评估记录。</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四、权重：0.01四、权重：0.01</w:t>
            </w:r>
          </w:p>
        </w:tc>
        <w:tc>
          <w:tcPr>
            <w:tcW w:w="952" w:type="pct"/>
            <w:vMerge w:val="continue"/>
            <w:noWrap w:val="0"/>
            <w:vAlign w:val="top"/>
          </w:tcPr>
          <w:p>
            <w:pPr>
              <w:spacing w:line="360" w:lineRule="auto"/>
              <w:jc w:val="center"/>
              <w:rPr>
                <w:rFonts w:hint="eastAsia" w:ascii="仿宋" w:hAnsi="仿宋" w:eastAsia="仿宋" w:cs="仿宋"/>
                <w:sz w:val="24"/>
                <w:szCs w:val="24"/>
              </w:rPr>
            </w:pPr>
          </w:p>
        </w:tc>
        <w:tc>
          <w:tcPr>
            <w:tcW w:w="408" w:type="pct"/>
            <w:noWrap w:val="0"/>
            <w:vAlign w:val="top"/>
          </w:tcPr>
          <w:p>
            <w:pPr>
              <w:spacing w:line="360" w:lineRule="auto"/>
              <w:jc w:val="center"/>
              <w:rPr>
                <w:rFonts w:hint="eastAsia" w:ascii="仿宋" w:hAnsi="仿宋" w:eastAsia="仿宋" w:cs="仿宋"/>
                <w:sz w:val="24"/>
                <w:szCs w:val="24"/>
              </w:rPr>
            </w:pPr>
          </w:p>
        </w:tc>
        <w:tc>
          <w:tcPr>
            <w:tcW w:w="288" w:type="pct"/>
            <w:noWrap w:val="0"/>
            <w:vAlign w:val="top"/>
          </w:tcPr>
          <w:p>
            <w:pPr>
              <w:spacing w:line="360" w:lineRule="auto"/>
              <w:jc w:val="center"/>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事故救援</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1.发生事故后，应立即启动相关应急预案，积极开展事故救援。</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2.应急结束后应编制应急救援报告。</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每一项5分。</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每发现一项不符合扣2分，扣完为止。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r>
              <w:rPr>
                <w:rFonts w:hint="eastAsia" w:ascii="仿宋" w:hAnsi="仿宋" w:eastAsia="仿宋" w:cs="仿宋"/>
                <w:sz w:val="24"/>
                <w:szCs w:val="24"/>
              </w:rPr>
              <w:t>应急救援报告。</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四、权重：0.01</w:t>
            </w:r>
          </w:p>
        </w:tc>
        <w:tc>
          <w:tcPr>
            <w:tcW w:w="952" w:type="pct"/>
            <w:vMerge w:val="continue"/>
            <w:noWrap w:val="0"/>
            <w:vAlign w:val="top"/>
          </w:tcPr>
          <w:p>
            <w:pPr>
              <w:spacing w:line="360" w:lineRule="auto"/>
              <w:ind w:left="260"/>
              <w:rPr>
                <w:rFonts w:hint="eastAsia" w:ascii="仿宋" w:hAnsi="仿宋" w:eastAsia="仿宋" w:cs="仿宋"/>
                <w:sz w:val="24"/>
                <w:szCs w:val="24"/>
              </w:rPr>
            </w:pPr>
          </w:p>
        </w:tc>
        <w:tc>
          <w:tcPr>
            <w:tcW w:w="408" w:type="pct"/>
            <w:noWrap w:val="0"/>
            <w:vAlign w:val="top"/>
          </w:tcPr>
          <w:p>
            <w:pPr>
              <w:spacing w:line="360" w:lineRule="auto"/>
              <w:ind w:left="260"/>
              <w:rPr>
                <w:rFonts w:hint="eastAsia" w:ascii="仿宋" w:hAnsi="仿宋" w:eastAsia="仿宋" w:cs="仿宋"/>
                <w:sz w:val="24"/>
                <w:szCs w:val="24"/>
              </w:rPr>
            </w:pPr>
          </w:p>
        </w:tc>
        <w:tc>
          <w:tcPr>
            <w:tcW w:w="288" w:type="pct"/>
            <w:noWrap w:val="0"/>
            <w:vAlign w:val="top"/>
          </w:tcPr>
          <w:p>
            <w:pPr>
              <w:spacing w:line="360" w:lineRule="auto"/>
              <w:ind w:left="260"/>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jc w:val="center"/>
        </w:trPr>
        <w:tc>
          <w:tcPr>
            <w:tcW w:w="441" w:type="pct"/>
            <w:vMerge w:val="restar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十一、事故报告及调查处理（70分，权重7%）</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事故报告</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建立事故的管理制度，明确报告、调查、统计与分析、回顾、书面报告样式和表格等内容。</w:t>
            </w:r>
          </w:p>
          <w:p>
            <w:pPr>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明确各类事故报告和调查处理的责任部门。</w:t>
            </w:r>
          </w:p>
          <w:p>
            <w:pPr>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发生事故后，主要负责人或其代理人应立即到现场组织抢救，采取有效措施，防止事故扩大。</w:t>
            </w:r>
          </w:p>
          <w:p>
            <w:pPr>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按规定及时向上级单位和有关政府部门报告，并保护事故现场及有关证据。</w:t>
            </w:r>
          </w:p>
          <w:p>
            <w:pPr>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像自身单位的全体从业人员通报事故原因、事故教训、防范措施等内容并对事故进行登记管理。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每一项5.7分，未发生事故按缺项处理。</w:t>
            </w:r>
          </w:p>
          <w:p>
            <w:pPr>
              <w:numPr>
                <w:ilvl w:val="0"/>
                <w:numId w:val="8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查文本，未建立制度扣5.7分。制度每缺少一项扣2分，扣完为止。</w:t>
            </w:r>
          </w:p>
          <w:p>
            <w:pPr>
              <w:numPr>
                <w:ilvl w:val="0"/>
                <w:numId w:val="8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查文本，措施不到位的每发现一项不符合扣2分，扣完为止。</w:t>
            </w:r>
          </w:p>
          <w:p>
            <w:pPr>
              <w:numPr>
                <w:ilvl w:val="0"/>
                <w:numId w:val="8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查文本，未按规定报告扣5.7分。</w:t>
            </w:r>
          </w:p>
          <w:p>
            <w:pPr>
              <w:numPr>
                <w:ilvl w:val="0"/>
                <w:numId w:val="84"/>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查文本，未建立登记制度扣5.7分。</w:t>
            </w:r>
          </w:p>
          <w:p>
            <w:pPr>
              <w:numPr>
                <w:ilvl w:val="0"/>
                <w:numId w:val="8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从业人员不了解事故报告程序或事故现场应采取的措施的，每人扣1分，扣完为止。</w:t>
            </w:r>
          </w:p>
          <w:p>
            <w:pPr>
              <w:numPr>
                <w:ilvl w:val="0"/>
                <w:numId w:val="8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相关人员不清楚事故调查要求的，每人扣1分，扣完为止。</w:t>
            </w:r>
          </w:p>
          <w:p>
            <w:pPr>
              <w:numPr>
                <w:ilvl w:val="0"/>
                <w:numId w:val="84"/>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从业人员不了解有关事故原因、事故教训、防范措施的，每人扣1分，扣完为止。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8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事故管理制度（如事故明细、分析、肇事驾驶员学习）。</w:t>
            </w:r>
          </w:p>
          <w:p>
            <w:pPr>
              <w:numPr>
                <w:ilvl w:val="0"/>
                <w:numId w:val="85"/>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事故调查处理报告（如通报、整改报告、学习教育记录）。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p>
          <w:p>
            <w:pPr>
              <w:numPr>
                <w:ilvl w:val="0"/>
                <w:numId w:val="8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从业人员是否了解事故报告诚信。</w:t>
            </w:r>
          </w:p>
          <w:p>
            <w:pPr>
              <w:numPr>
                <w:ilvl w:val="0"/>
                <w:numId w:val="86"/>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有关人员是否清楚事故调查要求，了解事故原因、事故教训、防范措施等。</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四、权重0.03</w:t>
            </w:r>
          </w:p>
        </w:tc>
        <w:tc>
          <w:tcPr>
            <w:tcW w:w="952" w:type="pct"/>
            <w:vMerge w:val="restart"/>
            <w:noWrap w:val="0"/>
            <w:vAlign w:val="top"/>
          </w:tcPr>
          <w:p>
            <w:pPr>
              <w:spacing w:line="360" w:lineRule="auto"/>
              <w:rPr>
                <w:rFonts w:hint="eastAsia" w:ascii="仿宋" w:hAnsi="仿宋" w:eastAsia="仿宋" w:cs="仿宋"/>
                <w:sz w:val="24"/>
                <w:szCs w:val="24"/>
              </w:rPr>
            </w:pPr>
            <w:r>
              <w:rPr>
                <w:rFonts w:hint="eastAsia" w:ascii="仿宋" w:hAnsi="仿宋" w:eastAsia="仿宋" w:cs="仿宋"/>
                <w:kern w:val="0"/>
                <w:sz w:val="24"/>
                <w:szCs w:val="24"/>
              </w:rPr>
              <w:t>《安全生产法》第38、80、83、85条</w:t>
            </w:r>
          </w:p>
        </w:tc>
        <w:tc>
          <w:tcPr>
            <w:tcW w:w="408" w:type="pct"/>
            <w:noWrap w:val="0"/>
            <w:vAlign w:val="top"/>
          </w:tcPr>
          <w:p>
            <w:pPr>
              <w:spacing w:line="360" w:lineRule="auto"/>
              <w:rPr>
                <w:rFonts w:hint="eastAsia" w:ascii="仿宋" w:hAnsi="仿宋" w:eastAsia="仿宋" w:cs="仿宋"/>
                <w:kern w:val="0"/>
                <w:sz w:val="24"/>
                <w:szCs w:val="24"/>
              </w:rPr>
            </w:pPr>
          </w:p>
        </w:tc>
        <w:tc>
          <w:tcPr>
            <w:tcW w:w="288" w:type="pct"/>
            <w:noWrap w:val="0"/>
            <w:vAlign w:val="top"/>
          </w:tcPr>
          <w:p>
            <w:pPr>
              <w:spacing w:line="360" w:lineRule="auto"/>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jc w:val="center"/>
        </w:trPr>
        <w:tc>
          <w:tcPr>
            <w:tcW w:w="441" w:type="pct"/>
            <w:vMerge w:val="continue"/>
            <w:noWrap w:val="0"/>
            <w:vAlign w:val="center"/>
          </w:tcPr>
          <w:p>
            <w:pPr>
              <w:spacing w:line="360" w:lineRule="auto"/>
              <w:rPr>
                <w:rFonts w:hint="eastAsia" w:ascii="仿宋" w:hAnsi="仿宋" w:eastAsia="仿宋" w:cs="仿宋"/>
                <w:b/>
                <w:sz w:val="24"/>
                <w:szCs w:val="24"/>
              </w:rPr>
            </w:pP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事故调查和处理</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1.按照相关法律法规、管理制度的要求，组织事故调查组或配合有关政府行政部门对事故、事件进行调查。</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2.按照《企业职工伤亡事故分析规则（GB6442）》定期对事故、事件进行统计、分析。</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rPr>
              <w:t>3.对本单位的事故及其他单位的有关事故进行回顾、学习，建立事故档案和管理台账。</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每一项10分，未发生事故按缺项处理。</w:t>
            </w:r>
          </w:p>
          <w:p>
            <w:pPr>
              <w:numPr>
                <w:ilvl w:val="0"/>
                <w:numId w:val="87"/>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每项中有一处不符合扣2分，扣完为止。</w:t>
            </w:r>
          </w:p>
          <w:p>
            <w:pPr>
              <w:numPr>
                <w:ilvl w:val="0"/>
                <w:numId w:val="8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未建立事故管理台账的，扣10分。</w:t>
            </w:r>
          </w:p>
          <w:p>
            <w:pPr>
              <w:numPr>
                <w:ilvl w:val="0"/>
                <w:numId w:val="87"/>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管理人员、从业人员不了解相关事故的，每人扣2分，扣完为止。</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事故管理台账。</w:t>
            </w:r>
          </w:p>
          <w:p>
            <w:pPr>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从业人员培训记录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有关人员是否清楚相关事故原因、事故教训等。</w:t>
            </w:r>
          </w:p>
          <w:p>
            <w:pPr>
              <w:spacing w:line="360" w:lineRule="auto"/>
              <w:rPr>
                <w:rFonts w:hint="eastAsia" w:ascii="仿宋" w:hAnsi="仿宋" w:eastAsia="仿宋" w:cs="仿宋"/>
                <w:kern w:val="0"/>
                <w:sz w:val="24"/>
                <w:szCs w:val="24"/>
              </w:rPr>
            </w:pPr>
            <w:r>
              <w:rPr>
                <w:rFonts w:hint="eastAsia" w:ascii="仿宋" w:hAnsi="仿宋" w:eastAsia="仿宋" w:cs="仿宋"/>
                <w:b/>
                <w:bCs/>
                <w:sz w:val="24"/>
                <w:szCs w:val="24"/>
              </w:rPr>
              <w:t>四、权重：0.03</w:t>
            </w:r>
          </w:p>
        </w:tc>
        <w:tc>
          <w:tcPr>
            <w:tcW w:w="952" w:type="pct"/>
            <w:vMerge w:val="continue"/>
            <w:noWrap w:val="0"/>
            <w:vAlign w:val="top"/>
          </w:tcPr>
          <w:p>
            <w:pPr>
              <w:spacing w:line="360" w:lineRule="auto"/>
              <w:rPr>
                <w:rFonts w:hint="eastAsia" w:ascii="仿宋" w:hAnsi="仿宋" w:eastAsia="仿宋" w:cs="仿宋"/>
                <w:sz w:val="24"/>
                <w:szCs w:val="24"/>
              </w:rPr>
            </w:pPr>
          </w:p>
        </w:tc>
        <w:tc>
          <w:tcPr>
            <w:tcW w:w="408" w:type="pct"/>
            <w:noWrap w:val="0"/>
            <w:vAlign w:val="top"/>
          </w:tcPr>
          <w:p>
            <w:pPr>
              <w:spacing w:line="360" w:lineRule="auto"/>
              <w:rPr>
                <w:rFonts w:hint="eastAsia" w:ascii="仿宋" w:hAnsi="仿宋" w:eastAsia="仿宋" w:cs="仿宋"/>
                <w:sz w:val="24"/>
                <w:szCs w:val="24"/>
              </w:rPr>
            </w:pPr>
          </w:p>
        </w:tc>
        <w:tc>
          <w:tcPr>
            <w:tcW w:w="288" w:type="pct"/>
            <w:noWrap w:val="0"/>
            <w:vAlign w:val="top"/>
          </w:tcPr>
          <w:p>
            <w:pPr>
              <w:spacing w:line="360" w:lineRule="auto"/>
              <w:rPr>
                <w:rFonts w:hint="eastAsia" w:ascii="仿宋" w:hAnsi="仿宋" w:eastAsia="仿宋" w:cs="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jc w:val="center"/>
        </w:trPr>
        <w:tc>
          <w:tcPr>
            <w:tcW w:w="441" w:type="pct"/>
            <w:noWrap w:val="0"/>
            <w:vAlign w:val="center"/>
          </w:tcPr>
          <w:p>
            <w:pPr>
              <w:spacing w:line="360" w:lineRule="auto"/>
              <w:rPr>
                <w:rFonts w:hint="eastAsia" w:ascii="仿宋" w:hAnsi="仿宋" w:eastAsia="仿宋" w:cs="仿宋"/>
                <w:b/>
                <w:sz w:val="24"/>
                <w:szCs w:val="24"/>
              </w:rPr>
            </w:pPr>
            <w:r>
              <w:rPr>
                <w:rFonts w:hint="eastAsia" w:ascii="仿宋" w:hAnsi="仿宋" w:eastAsia="仿宋" w:cs="仿宋"/>
                <w:b/>
                <w:sz w:val="24"/>
                <w:szCs w:val="24"/>
              </w:rPr>
              <w:t>十二、绩效评定和持续改进（30分，权重3%）</w:t>
            </w:r>
          </w:p>
        </w:tc>
        <w:tc>
          <w:tcPr>
            <w:tcW w:w="618" w:type="pct"/>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绩效评定及改进</w:t>
            </w:r>
          </w:p>
        </w:tc>
        <w:tc>
          <w:tcPr>
            <w:tcW w:w="2289" w:type="pct"/>
            <w:gridSpan w:val="2"/>
            <w:noWrap w:val="0"/>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一、达标内容</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建立安全生产标准化绩效评定的管理制度，明确对安全生产目标完成情况、现场安全状况情况进行评估。</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通过评估与分析，发现安全管理过程中的责任履行、系统运行、检查监控、隐患整改、考评考核等方面存在的问题，进行整改。</w:t>
            </w:r>
          </w:p>
          <w:p>
            <w:pPr>
              <w:widowControl/>
              <w:numPr>
                <w:ilvl w:val="0"/>
                <w:numId w:val="0"/>
              </w:num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每年至少一次对安全生产标准化实施情况进行评定，并形成正式的评定报告。发生死亡事故后或生产工艺发生重大变化后，应重新进行评定。</w:t>
            </w:r>
          </w:p>
          <w:p>
            <w:pPr>
              <w:widowControl/>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en-US" w:eastAsia="zh-CN"/>
              </w:rPr>
              <w:t>4.</w:t>
            </w:r>
            <w:r>
              <w:rPr>
                <w:rFonts w:hint="eastAsia" w:ascii="仿宋" w:hAnsi="仿宋" w:eastAsia="仿宋" w:cs="仿宋"/>
                <w:sz w:val="24"/>
                <w:szCs w:val="24"/>
              </w:rPr>
              <w:t>将安全生产标准化工作评定报告向所有部门、所属单位和从业人员通报。</w:t>
            </w:r>
          </w:p>
          <w:p>
            <w:pPr>
              <w:widowControl/>
              <w:numPr>
                <w:ilvl w:val="0"/>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将安全生产标准化实施情况的评定结果，纳入部门、所属单位、员工年度安全绩效考评。</w:t>
            </w:r>
          </w:p>
          <w:p>
            <w:pPr>
              <w:widowControl/>
              <w:numPr>
                <w:ilvl w:val="0"/>
                <w:numId w:val="0"/>
              </w:num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lang w:val="en-US" w:eastAsia="zh-CN"/>
              </w:rPr>
              <w:t>6.</w:t>
            </w:r>
            <w:r>
              <w:rPr>
                <w:rFonts w:hint="eastAsia" w:ascii="仿宋" w:hAnsi="仿宋" w:eastAsia="仿宋" w:cs="仿宋"/>
                <w:kern w:val="0"/>
                <w:sz w:val="24"/>
                <w:szCs w:val="24"/>
              </w:rPr>
              <w:t>根据安全生产标准化的评定结果和安全预警系统，对安全生产目标与指标、规章制度、操作规程等进行修改完善，制定完善安全生产标准化的工作计划和措施，实施计划、执行、检查、改进（PDCA）循环，不断提高安全绩效。</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二、检查标准</w:t>
            </w:r>
          </w:p>
          <w:p>
            <w:pPr>
              <w:spacing w:line="360" w:lineRule="auto"/>
              <w:ind w:left="200"/>
              <w:rPr>
                <w:rFonts w:hint="eastAsia" w:ascii="仿宋" w:hAnsi="仿宋" w:eastAsia="仿宋" w:cs="仿宋"/>
                <w:sz w:val="24"/>
                <w:szCs w:val="24"/>
              </w:rPr>
            </w:pPr>
            <w:r>
              <w:rPr>
                <w:rFonts w:hint="eastAsia" w:ascii="仿宋" w:hAnsi="仿宋" w:eastAsia="仿宋" w:cs="仿宋"/>
                <w:sz w:val="24"/>
                <w:szCs w:val="24"/>
              </w:rPr>
              <w:t>每一项3.75分。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未明确主要负责人牵头的自评机构、未制定自评方案的，扣3.75分。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未按期开展自评工作的，扣3.75分。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未将自评情况通报的，扣3.75分。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未落实安全生产报告制度、向社会公示的，扣3.75分。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未制订改进工作计划的，扣3.75分。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未明确改进对策和措施的，扣3.75分。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未落实责任分工的，扣3.75分。</w:t>
            </w:r>
          </w:p>
          <w:p>
            <w:pPr>
              <w:numPr>
                <w:ilvl w:val="0"/>
                <w:numId w:val="88"/>
              </w:numPr>
              <w:spacing w:line="360" w:lineRule="auto"/>
              <w:ind w:left="0" w:firstLine="200"/>
              <w:rPr>
                <w:rFonts w:hint="eastAsia" w:ascii="仿宋" w:hAnsi="仿宋" w:eastAsia="仿宋" w:cs="仿宋"/>
                <w:sz w:val="24"/>
                <w:szCs w:val="24"/>
              </w:rPr>
            </w:pPr>
            <w:r>
              <w:rPr>
                <w:rFonts w:hint="eastAsia" w:ascii="仿宋" w:hAnsi="仿宋" w:eastAsia="仿宋" w:cs="仿宋"/>
                <w:sz w:val="24"/>
                <w:szCs w:val="24"/>
              </w:rPr>
              <w:t>未完善安全生产工作目标和考核指标的，扣3.75分。</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三、自评/检查方法</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查资料：</w:t>
            </w:r>
          </w:p>
          <w:p>
            <w:pPr>
              <w:numPr>
                <w:ilvl w:val="0"/>
                <w:numId w:val="8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改进工资方案。</w:t>
            </w:r>
          </w:p>
          <w:p>
            <w:pPr>
              <w:numPr>
                <w:ilvl w:val="0"/>
                <w:numId w:val="8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自评方案、自评报告及通报。</w:t>
            </w:r>
          </w:p>
          <w:p>
            <w:pPr>
              <w:numPr>
                <w:ilvl w:val="0"/>
                <w:numId w:val="89"/>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安全生产情况报告、公示材料。</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询问：</w:t>
            </w:r>
            <w:r>
              <w:rPr>
                <w:rFonts w:hint="eastAsia" w:ascii="仿宋" w:hAnsi="仿宋" w:eastAsia="仿宋" w:cs="仿宋"/>
                <w:sz w:val="24"/>
                <w:szCs w:val="24"/>
              </w:rPr>
              <w:t>有关人员对本单位的绩效评定情况。</w:t>
            </w:r>
          </w:p>
          <w:p>
            <w:pPr>
              <w:spacing w:line="360" w:lineRule="auto"/>
              <w:rPr>
                <w:rFonts w:hint="eastAsia" w:ascii="仿宋" w:hAnsi="仿宋" w:eastAsia="仿宋" w:cs="仿宋"/>
                <w:kern w:val="0"/>
                <w:sz w:val="24"/>
                <w:szCs w:val="24"/>
              </w:rPr>
            </w:pPr>
            <w:r>
              <w:rPr>
                <w:rFonts w:hint="eastAsia" w:ascii="仿宋" w:hAnsi="仿宋" w:eastAsia="仿宋" w:cs="仿宋"/>
                <w:b/>
                <w:bCs/>
                <w:sz w:val="24"/>
                <w:szCs w:val="24"/>
              </w:rPr>
              <w:t>四、权重：0.03</w:t>
            </w:r>
          </w:p>
        </w:tc>
        <w:tc>
          <w:tcPr>
            <w:tcW w:w="952" w:type="pct"/>
            <w:noWrap w:val="0"/>
            <w:vAlign w:val="top"/>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《安全生产法》第19条，《企业安全生产责任体系五落实五到位规定》</w:t>
            </w:r>
          </w:p>
        </w:tc>
        <w:tc>
          <w:tcPr>
            <w:tcW w:w="408" w:type="pct"/>
            <w:noWrap w:val="0"/>
            <w:vAlign w:val="top"/>
          </w:tcPr>
          <w:p>
            <w:pPr>
              <w:spacing w:line="360" w:lineRule="auto"/>
              <w:ind w:firstLine="480" w:firstLineChars="200"/>
              <w:rPr>
                <w:rFonts w:hint="eastAsia" w:ascii="仿宋" w:hAnsi="仿宋" w:eastAsia="仿宋" w:cs="仿宋"/>
                <w:kern w:val="0"/>
                <w:sz w:val="24"/>
                <w:szCs w:val="24"/>
              </w:rPr>
            </w:pPr>
          </w:p>
        </w:tc>
        <w:tc>
          <w:tcPr>
            <w:tcW w:w="288" w:type="pct"/>
            <w:noWrap w:val="0"/>
            <w:vAlign w:val="top"/>
          </w:tcPr>
          <w:p>
            <w:pPr>
              <w:spacing w:line="360" w:lineRule="auto"/>
              <w:ind w:firstLine="480" w:firstLineChars="200"/>
              <w:rPr>
                <w:rFonts w:hint="eastAsia" w:ascii="仿宋" w:hAnsi="仿宋" w:eastAsia="仿宋" w:cs="仿宋"/>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60" w:type="pct"/>
            <w:gridSpan w:val="2"/>
            <w:noWrap w:val="0"/>
            <w:vAlign w:val="center"/>
          </w:tcPr>
          <w:p>
            <w:pPr>
              <w:spacing w:line="360" w:lineRule="auto"/>
              <w:jc w:val="left"/>
              <w:rPr>
                <w:rFonts w:hint="eastAsia" w:ascii="仿宋" w:hAnsi="仿宋" w:eastAsia="仿宋" w:cs="仿宋"/>
                <w:b/>
                <w:sz w:val="24"/>
                <w:szCs w:val="24"/>
              </w:rPr>
            </w:pPr>
            <w:r>
              <w:rPr>
                <w:rFonts w:hint="eastAsia" w:ascii="仿宋" w:hAnsi="仿宋" w:eastAsia="仿宋" w:cs="仿宋"/>
                <w:b/>
                <w:bCs/>
                <w:sz w:val="24"/>
                <w:szCs w:val="24"/>
              </w:rPr>
              <w:t>汇总得分</w:t>
            </w:r>
          </w:p>
        </w:tc>
        <w:tc>
          <w:tcPr>
            <w:tcW w:w="1094" w:type="pct"/>
            <w:noWrap w:val="0"/>
            <w:vAlign w:val="center"/>
          </w:tcPr>
          <w:p>
            <w:pPr>
              <w:spacing w:line="360" w:lineRule="auto"/>
              <w:ind w:firstLine="480" w:firstLineChars="200"/>
              <w:jc w:val="left"/>
              <w:rPr>
                <w:rFonts w:hint="eastAsia" w:ascii="仿宋" w:hAnsi="仿宋" w:eastAsia="仿宋" w:cs="仿宋"/>
                <w:kern w:val="0"/>
                <w:sz w:val="24"/>
                <w:szCs w:val="24"/>
              </w:rPr>
            </w:pPr>
          </w:p>
        </w:tc>
        <w:tc>
          <w:tcPr>
            <w:tcW w:w="1195" w:type="pct"/>
            <w:noWrap w:val="0"/>
            <w:vAlign w:val="center"/>
          </w:tcPr>
          <w:p>
            <w:pPr>
              <w:spacing w:line="360" w:lineRule="auto"/>
              <w:ind w:firstLine="482" w:firstLineChars="200"/>
              <w:jc w:val="left"/>
              <w:rPr>
                <w:rFonts w:hint="eastAsia" w:ascii="仿宋" w:hAnsi="仿宋" w:eastAsia="仿宋" w:cs="仿宋"/>
                <w:kern w:val="0"/>
                <w:sz w:val="24"/>
                <w:szCs w:val="24"/>
              </w:rPr>
            </w:pPr>
            <w:r>
              <w:rPr>
                <w:rFonts w:hint="eastAsia" w:ascii="仿宋" w:hAnsi="仿宋" w:eastAsia="仿宋" w:cs="仿宋"/>
                <w:b/>
                <w:bCs/>
                <w:sz w:val="24"/>
                <w:szCs w:val="24"/>
              </w:rPr>
              <w:t>考评等级</w:t>
            </w:r>
          </w:p>
        </w:tc>
        <w:tc>
          <w:tcPr>
            <w:tcW w:w="1649" w:type="pct"/>
            <w:gridSpan w:val="3"/>
            <w:noWrap w:val="0"/>
            <w:vAlign w:val="center"/>
          </w:tcPr>
          <w:p>
            <w:pPr>
              <w:spacing w:line="360" w:lineRule="auto"/>
              <w:rPr>
                <w:rFonts w:hint="eastAsia" w:ascii="仿宋" w:hAnsi="仿宋" w:eastAsia="仿宋" w:cs="仿宋"/>
                <w:kern w:val="0"/>
                <w:sz w:val="24"/>
                <w:szCs w:val="24"/>
              </w:rPr>
            </w:pPr>
          </w:p>
        </w:tc>
      </w:tr>
    </w:tbl>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w:t>
      </w:r>
      <w:r>
        <w:rPr>
          <w:rFonts w:hint="eastAsia" w:cs="宋体"/>
          <w:b/>
          <w:bCs/>
          <w:color w:val="auto"/>
          <w:sz w:val="28"/>
          <w:szCs w:val="28"/>
          <w:lang w:val="en-US" w:eastAsia="zh-CN"/>
        </w:rPr>
        <w:t>6</w:t>
      </w:r>
      <w:r>
        <w:rPr>
          <w:rFonts w:hint="eastAsia" w:ascii="宋体" w:hAnsi="宋体" w:eastAsia="宋体" w:cs="宋体"/>
          <w:b/>
          <w:bCs/>
          <w:color w:val="auto"/>
          <w:sz w:val="28"/>
          <w:szCs w:val="28"/>
          <w:lang w:val="en-US" w:eastAsia="zh-CN"/>
        </w:rPr>
        <w:t>：《广州市环卫作业单位安全生产主体责任清单(试行）》</w:t>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4"/>
          <w:szCs w:val="24"/>
          <w:lang w:val="en-US" w:eastAsia="zh-CN"/>
        </w:rPr>
      </w:pP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广州市环卫作业单位安全生产主体责任清单(试行）</w:t>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color w:val="auto"/>
          <w:sz w:val="24"/>
          <w:szCs w:val="24"/>
          <w:lang w:val="en-US" w:eastAsia="zh-CN"/>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183"/>
        <w:gridCol w:w="6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3"/>
            <w:noWrap w:val="0"/>
            <w:vAlign w:val="center"/>
          </w:tcPr>
          <w:p>
            <w:pPr>
              <w:spacing w:line="360" w:lineRule="auto"/>
              <w:rPr>
                <w:rFonts w:hint="eastAsia" w:ascii="仿宋" w:hAnsi="仿宋" w:eastAsia="仿宋" w:cs="仿宋"/>
                <w:b/>
                <w:bCs/>
                <w:color w:val="191919"/>
                <w:sz w:val="24"/>
                <w:szCs w:val="24"/>
              </w:rPr>
            </w:pPr>
            <w:r>
              <w:rPr>
                <w:rFonts w:hint="eastAsia" w:ascii="仿宋" w:hAnsi="仿宋" w:eastAsia="仿宋" w:cs="仿宋"/>
                <w:color w:val="auto"/>
                <w:sz w:val="24"/>
                <w:szCs w:val="24"/>
                <w:lang w:val="en-US" w:eastAsia="zh-CN"/>
              </w:rPr>
              <w:br w:type="page"/>
            </w:r>
            <w:r>
              <w:rPr>
                <w:rFonts w:hint="eastAsia" w:ascii="仿宋" w:hAnsi="仿宋" w:eastAsia="仿宋" w:cs="仿宋"/>
                <w:b/>
                <w:bCs/>
                <w:color w:val="191919"/>
                <w:sz w:val="24"/>
                <w:szCs w:val="24"/>
              </w:rPr>
              <w:t>本清单适用于本市生活垃圾清扫、收集、运输服务的环卫作业单位。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center"/>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序号</w:t>
            </w:r>
          </w:p>
        </w:tc>
        <w:tc>
          <w:tcPr>
            <w:tcW w:w="1183" w:type="dxa"/>
            <w:noWrap w:val="0"/>
            <w:vAlign w:val="center"/>
          </w:tcPr>
          <w:p>
            <w:pPr>
              <w:pStyle w:val="8"/>
              <w:spacing w:before="0" w:beforeAutospacing="0" w:after="0" w:afterAutospacing="0" w:line="360" w:lineRule="auto"/>
              <w:jc w:val="center"/>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责任要点</w:t>
            </w:r>
          </w:p>
        </w:tc>
        <w:tc>
          <w:tcPr>
            <w:tcW w:w="6692" w:type="dxa"/>
            <w:noWrap w:val="0"/>
            <w:vAlign w:val="center"/>
          </w:tcPr>
          <w:p>
            <w:pPr>
              <w:widowControl/>
              <w:spacing w:line="360" w:lineRule="auto"/>
              <w:jc w:val="center"/>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责任内容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widowControl/>
              <w:spacing w:line="360" w:lineRule="auto"/>
              <w:jc w:val="center"/>
              <w:outlineLvl w:val="0"/>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一、单位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1</w:t>
            </w:r>
          </w:p>
        </w:tc>
        <w:tc>
          <w:tcPr>
            <w:tcW w:w="1183" w:type="dxa"/>
            <w:vMerge w:val="restart"/>
            <w:noWrap w:val="0"/>
            <w:vAlign w:val="center"/>
          </w:tcPr>
          <w:p>
            <w:pPr>
              <w:spacing w:line="360" w:lineRule="auto"/>
              <w:rPr>
                <w:rFonts w:hint="eastAsia" w:ascii="仿宋" w:hAnsi="仿宋" w:eastAsia="仿宋" w:cs="仿宋"/>
                <w:sz w:val="24"/>
                <w:szCs w:val="24"/>
              </w:rPr>
            </w:pPr>
            <w:r>
              <w:rPr>
                <w:rFonts w:hint="eastAsia" w:ascii="仿宋" w:hAnsi="仿宋" w:eastAsia="仿宋" w:cs="仿宋"/>
                <w:b/>
                <w:bCs/>
                <w:sz w:val="24"/>
                <w:szCs w:val="24"/>
              </w:rPr>
              <w:t>制度、机构、人员配备</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应当具备《安全生产法》、《市容环境卫生管理规定》等法律、法规和国家标准或者行业标准规定的安全生产条件，执行保障安全生产的国家标准或者行业标准；在环卫作业的各环节、各岗位开展安全标准化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建立和落实安全生产规章制度，主要包括：</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（1）安全生产会议制度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（2）安全生产投入及安全生产费用提取和使用制度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（3）安全生产教育培训制度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（4）安全生产检查制度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（5）安全生产责任制考核制度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（6）安全生产奖惩制度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（7）岗位安全操作规程及岗位标准化管理制度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（8）生产安全事故隐患排查治理制度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（9）职业危害（粉尘、有毒有害气体等）预防和劳动防护用品配备制度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（10）特种作业人员管理制度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（11）重大危险源检测、监控、管理制度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（12）设施、设备安全管理制度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（13）新建、改建、扩建项目工程“三同时”制度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（14）生产安全事故报告、应急救援、调查处理、档案管理制度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（15）值班和交接班制度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（16）企业防火、动火、用火制度</w:t>
            </w:r>
          </w:p>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（17）其他符合本行业、本单位生产特点的安全生产管理制度。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建立健全和落实安全生产责任制(应当明确主要负责人、其他负责人的责任范围和考核标准，形成包括全部从业人员、全部工作岗位、全部生产经营活动的责任制度)。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依法依规建立安全生产相关台账（安全生产监管人员日常检查台账、隐患排查治理台账、领导现场轮流带班台账、教育培训台账等）。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健全安全生产管理机构，依法依规配备安全生产管理人员，成立安全生产组织领导机构。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环卫作业单位从业人员超过20人的，应设置安全生产管理机构，配备专职安全生产管理人员；从业人员在20人以下的应安排专职或兼职安全生产管理人员。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保障安全生产投入</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将安全生产资金纳入年度生产经营计划和财务预算，保障安全生产资金投入。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按照有关规定参加安全生产责任保险。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建设项目安全设施必须"三同时"，安全设施投资应当纳入建设项目概算。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积极开展安全生产标准化达标创建、提档升级和构建双重预防机制建设。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安全生产教育和培训</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主要负责人、分管负责人、安全总监、安全生产管理人员，应当具备与本单位所从事的生产经营活动相应的安全生产知识和管理能力。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按规定组织安全生产教育和培训，各类人员参加安全生产教育和培训时间符合规定学时。根据不同工种岗位，每年至少组织一次全员安全生产教育和培训。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建立安全生产教育培训档案，如实记录从业人员参加安全生产教育和培训的时间、内容和考核结果的情况。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特种作业人员应当取得特种作业操作资格证书。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风险分级管控和隐患排查治理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定期开展安全风险危害辨识，评估风险等级，明确管控措施、责任部门、责任人。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建立隐患排查治理制度，定期开展事故隐患排查，如实记录并向从业人员通报，及时进行整改，及时向有关部门报告重大事故隐患。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高危环卫作业单位与周边环卫作业单位、住宅小区等单位建立安全生产监督咨询机制。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对重大危险源进行登记建档，定期检测、评估，完善控制措施，建立健全安全监测监控系统并与有关部门联网。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设备设施和作业安全管理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对作业环境进行科学、合理的规划，实行生产现场定置管理，生产区域、生活区域、储存区域之间的安全距离以及周边防护安全距离，应当符合国家标准或者行业标准。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安排专人负责管理具有较大危险因素的设施、设备，对设施、设备进行检测与监测，定期检查维护并做好记录。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加强对从业人员作业行为的安全管理，指导、监督从业人员遵守安全生产和职业卫生规章制度、操作规程。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在具有较大危险因素的场所、设施、设备上，设置明显的安全警示标志和事故应急处置卡，配备应急器材和设施，控制人员进入。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生产经营场所和员工宿舍应当设置符合紧急疏散要求，标志明显、保持畅通的出口，禁止闭锁、封堵生产经营场所或者员工宿舍的出口。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两个以上环卫作业单位在同一区域内进行生产经营活动，应当签订安全生产管理协议，明确各自职责和应当采取的措施，并指定专职安全管理人员进行安全检查与协调，发现问题的，应当及时督促整改。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环卫作业单位不得将生产经营项目、场所、设备发包或出租给不具备安全生产条件的单位或个人。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color w:val="191919"/>
                <w:sz w:val="24"/>
                <w:szCs w:val="24"/>
              </w:rPr>
              <w:t>环卫作业单位将生产经营项目、场所、设备发包或者出租给其他单位的，应当签订专门的安全生产管理协议，或者在承包合同、租赁合同中明确各自安全生产管理职责，并对承包单位、承租单位的安全生产统一协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91919"/>
                <w:sz w:val="24"/>
                <w:szCs w:val="24"/>
              </w:rPr>
            </w:pPr>
            <w:r>
              <w:rPr>
                <w:rFonts w:hint="eastAsia" w:ascii="仿宋" w:hAnsi="仿宋" w:eastAsia="仿宋" w:cs="仿宋"/>
                <w:sz w:val="24"/>
                <w:szCs w:val="24"/>
              </w:rPr>
              <w:t>环卫作业单位应当加强委外作业的安全管理，履行发包单位主体责任，加强对外包项目的日常安全管理，建立健全安全检查、“一线三排”、反"三违"、隐患排查治理等制度。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29</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应急救援和事故报告</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编制生产安全事故综合应急预案、专项应急预案或者现场处置方案、应急处置卡，每年至少组织一次综合应急预案演练或者专项应急预案演练，每半年至少组织一次现场处置方案演练。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根据规定建立应急救援专（兼）职救援队伍，或者与邻近专职救援队伍签订救援协议，配备应急救援器材、设备和物资。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发生生产安全事故，立即启动应急预案，按照规定向有关部门报告，并联系医疗机构，先行垫付医疗费用。可能对周边单位和人员造成损害的，通知相关单位及时疏散。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配合政府部门开展事故调查处理，及时全面落实事故调查报告提出的整改措施。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33</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危险化学品安全管理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严格对照《危险化学品目录》，开展原料、辅料、产品、中间品等是否为危险化学品的认定。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使用危险化学品的单位，其使用条件（包括工艺）应当符合法律、行政法规和国家标准、行业标准的要求，依法开展安全评价。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使用危险化学品的单位，应当根据所使用的危险化学品的种类、危险特性以及使用量和使用方式，建立、健全使用危险化学品的安全管理规章制度和安全操作规程，保证危险化学品的安全使用。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pStyle w:val="8"/>
              <w:spacing w:before="0" w:beforeAutospacing="0" w:after="0" w:afterAutospacing="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二、主要负责人（第一责任人）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36</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制度管理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21212"/>
                <w:sz w:val="24"/>
                <w:szCs w:val="24"/>
              </w:rPr>
            </w:pPr>
            <w:r>
              <w:rPr>
                <w:rFonts w:hint="eastAsia" w:ascii="仿宋" w:hAnsi="仿宋" w:eastAsia="仿宋" w:cs="仿宋"/>
                <w:sz w:val="24"/>
                <w:szCs w:val="24"/>
              </w:rPr>
              <w:t>建立、健全本单位安全生产责任制，并分解到各部门、各岗位，明确责任人员、责任内容和考核奖罚标准；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21212"/>
                <w:sz w:val="24"/>
                <w:szCs w:val="24"/>
              </w:rPr>
            </w:pPr>
            <w:r>
              <w:rPr>
                <w:rFonts w:hint="eastAsia" w:ascii="仿宋" w:hAnsi="仿宋" w:eastAsia="仿宋" w:cs="仿宋"/>
                <w:sz w:val="24"/>
                <w:szCs w:val="24"/>
              </w:rPr>
              <w:t>组织制定本单位安全生产规章制度和操作规程，并保证其有效实施；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21212"/>
                <w:sz w:val="24"/>
                <w:szCs w:val="24"/>
              </w:rPr>
            </w:pPr>
            <w:r>
              <w:rPr>
                <w:rFonts w:hint="eastAsia" w:ascii="仿宋" w:hAnsi="仿宋" w:eastAsia="仿宋" w:cs="仿宋"/>
                <w:sz w:val="24"/>
                <w:szCs w:val="24"/>
              </w:rPr>
              <w:t>组织制定并实施本单位安全生产教育和培训计划，并保证计划的落实；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39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组织制定并实施本单位的生产安全事故应急救援预案；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40</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督促、检查</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督促、检查本单位的安全生产工作，及时消除生产安全事故隐患。应当经常性地进行督促、检查，对检查发现的问题及时解决，及时排除；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41</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实施</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21212"/>
                <w:sz w:val="24"/>
                <w:szCs w:val="24"/>
              </w:rPr>
            </w:pPr>
            <w:r>
              <w:rPr>
                <w:rFonts w:hint="eastAsia" w:ascii="仿宋" w:hAnsi="仿宋" w:eastAsia="仿宋" w:cs="仿宋"/>
                <w:sz w:val="24"/>
                <w:szCs w:val="24"/>
              </w:rPr>
              <w:t>保证本单位安全生产投入的有效实施；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42</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报告</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及时、如实报告生产安全事故，不得隐瞒不报、谎报或者迟报；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发生事故时迅速组织抢救，并及时、如实向负有安全生产监督管理职责的部门报告事故情况，做好善后处理工作，配合调查处理；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每年向职工大会或者职工代表大会、股东会或者股东大会报告安全生产工作和个人履行安全生产管理职责的情况，接受工会、从业人员、股东对安全生产工作的监督。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color w:val="121212"/>
                <w:sz w:val="24"/>
                <w:szCs w:val="24"/>
              </w:rPr>
            </w:pPr>
            <w:r>
              <w:rPr>
                <w:rFonts w:hint="eastAsia" w:ascii="仿宋" w:hAnsi="仿宋" w:eastAsia="仿宋" w:cs="仿宋"/>
                <w:sz w:val="24"/>
                <w:szCs w:val="24"/>
              </w:rPr>
              <w:t>每季度至少组织一次安全生产全面检查，研究分析安全生产存在的问题，督促各有关部门落实整改，及时消除生产安全事故隐患；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演练</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每年至少组织并参与一次事故应急救援演练；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pStyle w:val="8"/>
              <w:spacing w:before="0" w:beforeAutospacing="0" w:after="0" w:afterAutospacing="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三、分管负责人（含安全总监）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46</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监督管理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负责企业安全生产综合监督管理，监督检查各职能部门落实安全生产责任。负责综合协调本单位的安全生产工作；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47</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制度管理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制定本单位安全生产各项规章制度、操作规程及工作规划和年度计划，并组织实施及落实到位；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48</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隐患排查</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负责本单位隐患排查和整改治理工作，每月至少组织一次安全生产全面检查，研究分析安全生产存在的问题，督促各有关部门落实整改，及时消除生产安全事故隐患；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49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组织构建安全风险管控和隐患排查治理双重预防体系建设，推广先进适用安全技术装备，更新淘汰落后生产工艺技术装备；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50</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制度管理</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组织开展安全生产标准化建设和岗位精细化管理；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组织至少每年一次对安全生产法律法规、标准规范、规章制度、操作规程的执行情况进行评估；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52</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“三同时”</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组织实施新、改、扩建设项目，履行安全设施"三同时"；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53</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审批</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负责企业动火作业等高危特殊作业项目审批；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54</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追责</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负责对违章指挥、违章作业、违反劳动纪律行为的处罚和责任追究；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参与本单位事故的应急救援和调查处理。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pStyle w:val="8"/>
              <w:spacing w:before="0" w:beforeAutospacing="0" w:after="0" w:afterAutospacing="0" w:line="360" w:lineRule="auto"/>
              <w:ind w:firstLine="482" w:firstLineChars="200"/>
              <w:jc w:val="center"/>
              <w:rPr>
                <w:rFonts w:hint="eastAsia" w:ascii="仿宋" w:hAnsi="仿宋" w:eastAsia="仿宋" w:cs="仿宋"/>
                <w:b/>
                <w:sz w:val="24"/>
                <w:szCs w:val="24"/>
              </w:rPr>
            </w:pPr>
            <w:r>
              <w:rPr>
                <w:rFonts w:hint="eastAsia" w:ascii="仿宋" w:hAnsi="仿宋" w:eastAsia="仿宋" w:cs="仿宋"/>
                <w:b/>
                <w:bCs/>
                <w:sz w:val="24"/>
                <w:szCs w:val="24"/>
              </w:rPr>
              <w:t>四、行政（含工会）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56</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监督</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依法对安全生产工作进行监督，组织职工参加本单位安全生产工作的民主管理和民主监督，维护职工在安全生产方面的合法权益。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监督劳动防护费用的使用，对有碍安全生产、危害职工健康和违反安全操作规程的行为予以抵制、纠正、举报和控告。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58</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配合</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配合行政做好安全生产宣传教育工作，教育职工自觉遵守法律法规和本单位各项规章制度；支持主要负责人对安全生产做出突出贡献的部门（单位）和个人给予表彰和奖励，对违反安全生产规定的部门（单位）和个人给予批评和惩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59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发现危及从业人员生命安全的情况时，要求本单位组织从业人员撤离危险场所。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60</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督促</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对本单位违反安全生产和劳动保护法律、法规，侵犯从业人员合法权益的行为，及时提出批评和纠正建议，督促有关部门及时改进。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61</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修订</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参加制定或者修改有关安全生产的规章制度。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62</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“三同时”</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对建设项目的安全设施和职业危害防护设施与主体工程同时设计、同时施工、同时投入生产和使用进行监督，提出意见。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63</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建议</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对本单位违章指挥、强令冒险作业及存在的生产安全事故隐患，提出解决建议。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64</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追责</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依法参加事故调查，向有关部门提出处理意见，并要求追究有关人员的责任。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65</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其他</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法律法规规定的其他事项。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pStyle w:val="8"/>
              <w:spacing w:before="0" w:beforeAutospacing="0" w:after="0" w:afterAutospacing="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五、职能部门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66</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安全生产管理部门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在本单位安全生产委员会的领导下，负责本单位的安全生产工作。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宣传、贯彻、落实国家有关安全生产方针政策、法律法规和规章、标准以及政府负有安全生产监管职责部门的指示和要求，组织开展安全文化建设。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组织或者参与拟订本单位安全生产规章制度、操作规程和安全工作计划及规划。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69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组织或者参与本单位安全生产教育和培训，如实记录安全生产教育和培训情况；对特种作业人员的持证上岗情况进行监督管理。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督促落实本单位重大危险源的安全管理措施。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组织或者参与拟订生产安全事故应急救援预案，开展应急救援演练。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检查本单位的安全生产状况，及时排查生产安全事故隐患，提出改进安全生产管理的建议，推进安全标准化工作。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制止和纠正违章指挥、强令冒险作业、违反操作规程的行为。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督促落实本单位安全生产整改措施。监督安全经费的提取与使用，确保安全经费足额提取和专款专用。督促落实本单位新、改、扩建项目安全设施和职业危害防护设施“三同时”工作。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负责本单位各类生产安全事故的汇总统计上报工作，建立健全安全生产相关台账和事故档案。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按规定参加事故的调查与处理工作。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77</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技术部门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依法依规依标准编制或修订生产工艺、工艺管理制度和安全技术操作规程。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编制安全技术措施计划，提出安全技术措施方案。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79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组织实施本单位新、改、扩建项目安全设施和职业危害防护设施的设计、施工和投产时的审查验收工作。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组织或督促各部门（单位）对从业人员进行技术训练。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负责贯彻工艺管理规定，经常检查工艺纪律执行情况，及时纠正存在的问题。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组织开展安全技术研究工作，积极推广应用安全生产科研成果、先进技术。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83</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人事劳资部门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负责与从业人员签订劳动合同，告知作业岗位、场所危险因素和险情处置要点；为从业人员缴纳工伤保险，建立员工工伤保险台账；认真做好工伤职工的抢救、医疗和护理工作。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按规定为从业人员提供符合国家标准或行业标准的劳动防护用品，监督、教育从业人员正确佩戴使用（安全帽、防尘口罩、安全带、防护服、胶鞋、手套等）。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建立、健全职业健康档案，对接触职业危害的员工进行岗前、岗中、岗后职业健康检查；对存在职业危害因素的场所进行职业病危害检测，在检测点设置标识牌告知职业病危害检测结果，并将检查检测结果存入职业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负责组织对新入职人员(包括实习、代培人员和农民工)进行公司（班、组）级安全教育培训。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负责或会同安全生产管理部门对特种作业人员及其他从业人员进行安全生产技能培训与考核。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负责按规定配备专兼职安全生产管理人员。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89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负责将安全生产工作业绩纳入从业人员晋升、晋级和考核、奖励内容。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积极参与安全文化建设。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91</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设备管理部门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贯彻、落实国家、上级主管部门有关设备制造、检修、维护保养方面的规定和要求，做好主管业务范围内的安全生产工作，负责制订和修订设备管理制度；负责设备及安全设施的管理。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编制设备安装、维护、保养、检测计划及其安全措施。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定期检测特种设备，淘汰危及生产安全的设备；建立设备台账，做好安装、维护、保养、检测记录。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在有较大危险因素的设施、设备上，设置明显的安全警示标志。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组织特种设备及其他各类设备设施的安全检查，督促部门、部门做好安全设施、设备的维护保养和管理工作，及时消除设备设施安全隐患。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96</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财务部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制定年度安全生产保障费用投入计划，保障具备安全生产条件所必需的资金投入。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按规定足额提取安全生产费用，设立独立帐目，确保专款专用。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保证安全隐患治理费用，安全教育培训费用等安全费用的资金到位，做到专款专用。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99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确保安全技术措施费用的合理使用和专款专用。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保证和监督检查劳动保护用品、保健食品经费的使用。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确保本单位从业人员工伤保险、养老保险、医疗保险及安全生产责任保险资金并做好相应支付工作。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102</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生产调度部门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宣传、贯彻、落实国家有关安全法律法规、规章及本单位安全生产管理制度。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经常分析本单位生产形势，掌握安全生产规律，采取积极措施，加强安全生产管理，做好生产安全事故预防工作。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确保在日常生产活动中，当生产、进度、设备、任务、节能工作与安全工作发生矛盾时必须服从安全。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对生产系统违反安全生产管理制度和安全技术规程的违章作业、违章指挥行为，及时予以制止和教育。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负责及时落实生产环节中的安全隐患整改工作。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107</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保卫部门</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健全安全保卫制度，认真做好要害部门的安全生产保卫工作和消防安全培训工作。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负责本单位剧毒物品的管理和审批。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109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掌握本单位生产过程的火灾特点，经常监督检查火源、火险及灭火设施的管理情况，督促落实火灾隐患整改，确保消防设施完备和消防道路畅通。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110</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color w:val="191919"/>
                <w:sz w:val="24"/>
                <w:szCs w:val="24"/>
              </w:rPr>
              <w:t>办公室</w:t>
            </w: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宣传、贯彻、落实国家有关安全生产法律法规、规章及本单位安全生产管理制度。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认真贯彻上级有关安全生产的文件、指示，及时传达、转发、转送有关部门关于安全生产的文件、资料，做好安全生产会议记录。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负责进入本单位检查、参观人员的接待、陪同及安全注意事项的告知、防护工作。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督促各部门落实安全生产管理制度，提高安全工作的执行力。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p>
        </w:tc>
        <w:tc>
          <w:tcPr>
            <w:tcW w:w="6692" w:type="dxa"/>
            <w:noWrap w:val="0"/>
            <w:vAlign w:val="center"/>
          </w:tcPr>
          <w:p>
            <w:pPr>
              <w:pStyle w:val="8"/>
              <w:spacing w:before="0" w:beforeAutospacing="0" w:after="0" w:afterAutospacing="0" w:line="360" w:lineRule="auto"/>
              <w:ind w:firstLine="480" w:firstLineChars="200"/>
              <w:jc w:val="both"/>
              <w:rPr>
                <w:rFonts w:hint="eastAsia" w:ascii="仿宋" w:hAnsi="仿宋" w:eastAsia="仿宋" w:cs="仿宋"/>
                <w:sz w:val="24"/>
                <w:szCs w:val="24"/>
              </w:rPr>
            </w:pPr>
            <w:r>
              <w:rPr>
                <w:rFonts w:hint="eastAsia" w:ascii="仿宋" w:hAnsi="仿宋" w:eastAsia="仿宋" w:cs="仿宋"/>
                <w:sz w:val="24"/>
                <w:szCs w:val="24"/>
              </w:rPr>
              <w:t>积极参与本单位安全文化建设。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115</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color w:val="191919"/>
                <w:sz w:val="24"/>
                <w:szCs w:val="24"/>
              </w:rPr>
            </w:pPr>
            <w:r>
              <w:rPr>
                <w:rFonts w:hint="eastAsia" w:ascii="仿宋" w:hAnsi="仿宋" w:eastAsia="仿宋" w:cs="仿宋"/>
                <w:b/>
                <w:bCs/>
                <w:sz w:val="24"/>
                <w:szCs w:val="24"/>
              </w:rPr>
              <w:t>供应部门</w:t>
            </w: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及时供应安全技术措施项目所需的物资和材料。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采购符合国家或行业安全标准的设备、工具及劳动保护用品。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采购危险化学品，必须向供应商索取化学品安全技术说明书和安全标签，并向有关部门传递危险化学品的安全防护信息。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118</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作业部门</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部门主任是本部门安全生产第一责任人。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119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要按照生产作业要求，细化部门（工段）安全生产职责及岗位安全技术操作规程；制定安全生产承诺制度、安全生产例会例检制度、安全培训制度；制定作业现场、设备设施、工艺流程安全确认制度；建立隐患排查治理报告和应急处置制度，确保各项安全措施落到实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每天开展日常的安全检查，及时发现隐患，并采取有效措施消除隐患，制止违章指挥、违章操作、违反劳动纪律的行为。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检查各级动火、检维修、有限空间、临时用电、吊装等危险作业的安全措施，做好部门有关安全生产的票证、档案、台账等资料管理工作。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522" w:type="dxa"/>
            <w:gridSpan w:val="3"/>
            <w:noWrap w:val="0"/>
            <w:vAlign w:val="center"/>
          </w:tcPr>
          <w:p>
            <w:pPr>
              <w:pStyle w:val="8"/>
              <w:spacing w:before="0" w:after="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六、作业管理岗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522" w:type="dxa"/>
            <w:gridSpan w:val="3"/>
            <w:noWrap w:val="0"/>
            <w:vAlign w:val="center"/>
          </w:tcPr>
          <w:p>
            <w:pPr>
              <w:pStyle w:val="8"/>
              <w:spacing w:before="0" w:after="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122</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责任制度</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班组长是班组安全生产第一责任人，对本班组的安全生产全面负责，是安全生产法律法规和规章制度的直接执行者。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123</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安全培训</w:t>
            </w: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组织员工学习，贯彻执行安全生产法律法规、规章制度；落实岗位操作人员的安全生产责任，严格安全技术操作规程；督促员工熟练掌握岗位安全生产应急救援处置内容。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组织班组进行安全生产教育和安全活动。负责新员工（含劳务派遣人员、实习生等）及转岗员工班组级的安全教育培训。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125</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落实</w:t>
            </w:r>
          </w:p>
        </w:tc>
        <w:tc>
          <w:tcPr>
            <w:tcW w:w="6692" w:type="dxa"/>
            <w:noWrap w:val="0"/>
            <w:vAlign w:val="center"/>
          </w:tcPr>
          <w:p>
            <w:pPr>
              <w:pStyle w:val="17"/>
              <w:spacing w:line="360" w:lineRule="auto"/>
              <w:ind w:firstLine="480"/>
              <w:rPr>
                <w:rFonts w:hint="eastAsia" w:ascii="仿宋" w:hAnsi="仿宋" w:eastAsia="仿宋" w:cs="仿宋"/>
                <w:sz w:val="24"/>
                <w:szCs w:val="24"/>
              </w:rPr>
            </w:pPr>
            <w:r>
              <w:rPr>
                <w:rFonts w:hint="eastAsia" w:ascii="仿宋" w:hAnsi="仿宋" w:eastAsia="仿宋" w:cs="仿宋"/>
                <w:sz w:val="24"/>
                <w:szCs w:val="24"/>
              </w:rPr>
              <w:t>严格执行动火、检维修、有限空间、临时用电等作业的安全管理规定，不违章作业，确保作业安全。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126</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检查</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每天开展安全生产检查，及时发现隐患，并采取有效措施消除隐患，不违章指挥，及时制止违章操作、违反劳动纪律的行为。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（二）道路人工清扫管理岗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127</w:t>
            </w:r>
          </w:p>
        </w:tc>
        <w:tc>
          <w:tcPr>
            <w:tcW w:w="1183" w:type="dxa"/>
            <w:vMerge w:val="restart"/>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负责辖区内道路人工安全清扫管理</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落实安全生产管理制度，检查日常安全生产。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128</w:t>
            </w:r>
          </w:p>
        </w:tc>
        <w:tc>
          <w:tcPr>
            <w:tcW w:w="1183" w:type="dxa"/>
            <w:vMerge w:val="continue"/>
            <w:noWrap w:val="0"/>
            <w:vAlign w:val="center"/>
          </w:tcPr>
          <w:p>
            <w:pPr>
              <w:spacing w:line="360" w:lineRule="auto"/>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完整记录安全作业和检查工作。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129</w:t>
            </w:r>
          </w:p>
        </w:tc>
        <w:tc>
          <w:tcPr>
            <w:tcW w:w="1183" w:type="dxa"/>
            <w:vMerge w:val="continue"/>
            <w:noWrap w:val="0"/>
            <w:vAlign w:val="center"/>
          </w:tcPr>
          <w:p>
            <w:pPr>
              <w:spacing w:line="360" w:lineRule="auto"/>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发现违规、违章作业及时处置。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130</w:t>
            </w:r>
          </w:p>
        </w:tc>
        <w:tc>
          <w:tcPr>
            <w:tcW w:w="1183" w:type="dxa"/>
            <w:vMerge w:val="continue"/>
            <w:noWrap w:val="0"/>
            <w:vAlign w:val="center"/>
          </w:tcPr>
          <w:p>
            <w:pPr>
              <w:spacing w:line="360" w:lineRule="auto"/>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建立安全作业和检查档案。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131</w:t>
            </w:r>
          </w:p>
        </w:tc>
        <w:tc>
          <w:tcPr>
            <w:tcW w:w="1183" w:type="dxa"/>
            <w:vMerge w:val="continue"/>
            <w:noWrap w:val="0"/>
            <w:vAlign w:val="center"/>
          </w:tcPr>
          <w:p>
            <w:pPr>
              <w:spacing w:line="360" w:lineRule="auto"/>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及时报告重大或突发事件。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sz w:val="24"/>
                <w:szCs w:val="24"/>
              </w:rPr>
            </w:pPr>
            <w:r>
              <w:rPr>
                <w:rFonts w:hint="eastAsia" w:ascii="仿宋" w:hAnsi="仿宋" w:eastAsia="仿宋" w:cs="仿宋"/>
                <w:b/>
                <w:bCs/>
                <w:sz w:val="24"/>
                <w:szCs w:val="24"/>
              </w:rPr>
              <w:t>（三）道路机械清扫管理岗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132</w:t>
            </w:r>
          </w:p>
        </w:tc>
        <w:tc>
          <w:tcPr>
            <w:tcW w:w="1183" w:type="dxa"/>
            <w:vMerge w:val="restart"/>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负责辖区内道路机械安全清扫管理</w:t>
            </w:r>
          </w:p>
          <w:p>
            <w:pPr>
              <w:spacing w:line="360" w:lineRule="auto"/>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负责制定车辆管理办法，建立健全的车辆保养和维修保障体系。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编制并组织实施车辆运营计划。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组织驾驶员的技术培训、岗位培训等工作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监督车辆的使用、保养、维修、生产等工作。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负责统计、考核和评比检查工作。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建立车辆使用、保养，维修档案。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及时上报重大或突发事件。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sz w:val="24"/>
                <w:szCs w:val="24"/>
              </w:rPr>
            </w:pPr>
            <w:r>
              <w:rPr>
                <w:rFonts w:hint="eastAsia" w:ascii="仿宋" w:hAnsi="仿宋" w:eastAsia="仿宋" w:cs="仿宋"/>
                <w:b/>
                <w:bCs/>
                <w:sz w:val="24"/>
                <w:szCs w:val="24"/>
              </w:rPr>
              <w:t>（四）环卫车辆管理岗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138</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对道路及市容洒水、清洗作业、罐式及容器、道路清扫、压缩式生活垃圾运输、接式生活垃圾运输等环卫作业车辆进行安全管理</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负责制定环境卫生专用车辆管理细则，建立车辆的使用、保养、修理档案。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139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扫路车、清洗车、洒水车、洗扫一体车、垃圾运输车等应配设1名驾驶员和1名随车辅助人员。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组织开展车辆驾驶人员的技术培训、岗位培训工作，小型机械化作业人员应持证上岗，包括驾驶证（准驾车型为C或以上）及操作上岗证，操作上岗证经市城管委认可的机构培训考核通过后取得。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监督环卫车辆的使用、保养、修理、安全生产等工作。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建立健全车辆保养和修理质量保证体系。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定期对作业人员进行安全教育和技能培训，负责编制并组织实施车辆运营计划，负责统计、考核和评比检查工作。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sz w:val="24"/>
                <w:szCs w:val="24"/>
              </w:rPr>
            </w:pPr>
            <w:r>
              <w:rPr>
                <w:rFonts w:hint="eastAsia" w:ascii="仿宋" w:hAnsi="仿宋" w:eastAsia="仿宋" w:cs="仿宋"/>
                <w:b/>
                <w:bCs/>
                <w:sz w:val="24"/>
                <w:szCs w:val="24"/>
              </w:rPr>
              <w:t>（五）公共厕所管理岗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144</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负责公共厕所保洁服务工作，以及公共厕所的质量、服务、安全、维护、作业信息和安全作业检查</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建立健全安全责任制，定期检查安全工作，消除安全事故隐患。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制定应急安全预案，提高应对突发事件的服务保障能力。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建立检查制度，制度内容应包括检查标准、计划、实施方案和组织机构等。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运行管理单位应按照行业管理部门要求建立公共厕所业务台账，并及时更新，台账应包括厕所名称、所在区、服务单位、地址、类别、冲洗方式、坑位数、建筑面积等信息。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保障公共厕所干净、方便、文明、卫生，无异味，无视觉污染。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sz w:val="24"/>
                <w:szCs w:val="24"/>
              </w:rPr>
            </w:pPr>
            <w:r>
              <w:rPr>
                <w:rFonts w:hint="eastAsia" w:ascii="仿宋" w:hAnsi="仿宋" w:eastAsia="仿宋" w:cs="仿宋"/>
                <w:b/>
                <w:bCs/>
                <w:color w:val="333333"/>
                <w:kern w:val="0"/>
                <w:sz w:val="24"/>
                <w:szCs w:val="24"/>
              </w:rPr>
              <w:t>（六）压缩垃圾中转站管理岗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149</w:t>
            </w:r>
          </w:p>
        </w:tc>
        <w:tc>
          <w:tcPr>
            <w:tcW w:w="1183" w:type="dxa"/>
            <w:vMerge w:val="restart"/>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负责与垃圾中转有关的安全管理</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负责压缩站日常管理工作，解决压缩站运行过程中出现的各类问题。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负责压缩站的污水、臭气达标排放和周边环境治理工作。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负责进站垃圾日压缩转运量统计和每月汇总上报工作，建立统计台账资料。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负责站内设施设备和作业过程中的安全隐患排查治理工作，确保垃圾压缩站安全运行。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负责站内外环境卫生监督检查工作，做到干净整洁、环境优美。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负责离站垃圾运输车辆污水箱内污水排放监管工作。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负责对操作员的监督管理和综合考核工作。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color w:val="333333"/>
                <w:kern w:val="0"/>
                <w:sz w:val="24"/>
                <w:szCs w:val="24"/>
              </w:rPr>
            </w:pPr>
            <w:r>
              <w:rPr>
                <w:rFonts w:hint="eastAsia" w:ascii="仿宋" w:hAnsi="仿宋" w:eastAsia="仿宋" w:cs="仿宋"/>
                <w:b/>
                <w:bCs/>
                <w:color w:val="333333"/>
                <w:kern w:val="0"/>
                <w:sz w:val="24"/>
                <w:szCs w:val="24"/>
              </w:rPr>
              <w:t>（七）停车场管理岗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156</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负责车辆的日常安全管理</w:t>
            </w:r>
          </w:p>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组织工作人员进行消防安全知识培训，并定期进行消防演练。所有工作人员应掌握消防器材的使用方法，实行门卫保安24小时值班制管理。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根据需要设置相应的功能区域，如停车区、消防通道、试车道、洗车区、吸烟区、宣传栏、维修车间、配件仓库、危化品存放间等。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车辆按规定位置有序停放、整齐排列、车容车貌干净整洁。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159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车场应设定顺时针或逆时针的单向行驶路线，车辆按照指示标线方向行驶，车场内车速不得超过5km/h。车场内试刹车除外。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tabs>
                <w:tab w:val="left" w:pos="1188"/>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车辆维修、保养结束后，应及时清理车辆及维修场地，并将车辆停放在指定位置。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tabs>
                <w:tab w:val="left" w:pos="1668"/>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车辆出场必须牌证齐全，门卫凭出车条和工作安排表放行，临时出场试车必须经业务部门批准。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日间车场巡查不少于1次，由专人重点检查场内车辆秩序、车容车貌、车辆漏油漏水等情况；由门卫每半小时对车场进行1次巡查，重点检查场内防火、防盗、用水、用电等安全保卫工作。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外来人员、车辆进入车场，必须经管理或业务部门批准，由门卫检查及登记后放行。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进入车场的人员必须遵守场内各项规定，不得随意动用车辆或设备。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下班后，无关人员不得在车场逗留。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tabs>
                <w:tab w:val="left" w:pos="60"/>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建立消防设施设备档案以及相应的管理制度，设施设备应由专人负责保养和维护，保持正常使用状态。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tabs>
                <w:tab w:val="left" w:pos="60"/>
              </w:tabs>
              <w:spacing w:line="360" w:lineRule="auto"/>
              <w:ind w:firstLine="482" w:firstLineChars="200"/>
              <w:jc w:val="center"/>
              <w:rPr>
                <w:rFonts w:hint="eastAsia" w:ascii="仿宋" w:hAnsi="仿宋" w:eastAsia="仿宋" w:cs="仿宋"/>
                <w:sz w:val="24"/>
                <w:szCs w:val="24"/>
              </w:rPr>
            </w:pPr>
            <w:r>
              <w:rPr>
                <w:rFonts w:hint="eastAsia" w:ascii="仿宋" w:hAnsi="仿宋" w:eastAsia="仿宋" w:cs="仿宋"/>
                <w:b/>
                <w:bCs/>
                <w:sz w:val="24"/>
                <w:szCs w:val="24"/>
              </w:rPr>
              <w:t>（八）作业人员休息区管理岗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167</w:t>
            </w:r>
          </w:p>
        </w:tc>
        <w:tc>
          <w:tcPr>
            <w:tcW w:w="1183" w:type="dxa"/>
            <w:vMerge w:val="restart"/>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负责休息室使用的管理及安全检查</w:t>
            </w:r>
          </w:p>
        </w:tc>
        <w:tc>
          <w:tcPr>
            <w:tcW w:w="6692" w:type="dxa"/>
            <w:noWrap w:val="0"/>
            <w:vAlign w:val="center"/>
          </w:tcPr>
          <w:p>
            <w:pPr>
              <w:tabs>
                <w:tab w:val="left" w:pos="144"/>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落实房屋使用安全规定。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查实房屋数量、检查房屋质量。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169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录入使用房屋人员名册。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定期或不定期检查房屋安全使用情况。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tabs>
                <w:tab w:val="left" w:pos="1968"/>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将检查情况，依时上报。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七、作业岗位人员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522" w:type="dxa"/>
            <w:gridSpan w:val="3"/>
            <w:noWrap w:val="0"/>
            <w:vAlign w:val="center"/>
          </w:tcPr>
          <w:p>
            <w:pPr>
              <w:pStyle w:val="17"/>
              <w:numPr>
                <w:ilvl w:val="0"/>
                <w:numId w:val="0"/>
              </w:num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172</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安全培训</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认真学习和遵守各项安全生产管理制度、操作规程及安全技术工程，履行本岗位安全生产职责，对本岗位的安全生产负直接责任。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认真学习并严格执行动火、检维修、有限空间、临时用电等作业的安全管理规定，不违章作业，确保作业安全。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174</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隐患排查</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正确分析、判断和处理各种异常状态，及时发现和识别不安全因素和隐患，并及时整改，对不能立即进行整改的隐患有上报的义务。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175</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安全演练</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积极参加各种安全活动、岗位技术练兵和事故预案演练，清楚应急状态下本岗位和自身职责，在发生事故时，能按照事故预案正确处理。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176</w:t>
            </w:r>
          </w:p>
        </w:tc>
        <w:tc>
          <w:tcPr>
            <w:tcW w:w="1183" w:type="dxa"/>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安全作业</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有权拒绝违章作业的指令，对他人的违章作业要加以劝阻和制止。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 xml:space="preserve">    （二）道路人工清扫作业岗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177</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负责辖区内道路人工清扫安全作业保洁</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道路作业人员应穿戴安全反光背心(带)，水域作业人员应穿救生衣。作业时必须统一配备安全作业反光警示牌。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根据路段的行人、车流情况，合理安排作业时间和方式，主动避开行人和车流高峰，以免发生意外。遵守交通规则，不跨越中心护栏，不冲撞红灯。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179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道路大面积污染需要清理时，应在清理点来车方向适当位置设置醒目的路锥和警示牌，并做好防护措施。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3"/>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（三）道路机械清扫作业岗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180</w:t>
            </w:r>
          </w:p>
        </w:tc>
        <w:tc>
          <w:tcPr>
            <w:tcW w:w="1183" w:type="dxa"/>
            <w:vMerge w:val="restart"/>
            <w:noWrap w:val="0"/>
            <w:vAlign w:val="center"/>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负责辖区内道路机械清扫安全作业保洁</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出车前驾驶员按规定做好车辆各项检查。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辅助人员按规定检查作业工具及交通安全设备。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作业车辆在车场或指定加水站加水，可视情况添加适量清洁剂。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确认作业路段及线数，按规定路线出车到达作业路段。严格按照规定地段、路线、时间进行作业。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清洗、洗扫作业时，根据规定的线数和有效作业宽度选择车行道，按先中间或左边线，再逐步向右边线的顺序作业；洒水作业时，根据有效作业宽度核定作业路段洒水水线，按洒水线路，沿车行方向在中间车道行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按规定开启车辆的安全警示灯或警告设备，如箭头灯、作业电子警示屏、危险警示灯、大灯（夜间）、雾灯（雨雾天气）等。在禁鸣区域作业时严禁鸣笛。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作业时做到不扬尘、不漏土，路沿侧石无浮土、无污物。严禁花洒、漏洒、丢段。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作业时注意观察前方路面障碍和后方路面情况，确保清扫质量和设备不受损坏。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合理控制喷嘴、水压、车速，避免喷溅过往车辆和行人。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189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道路作业时应兼顾道路路口、安全岛、斑马线、中心黄线。立交桥及人行天桥底部、路沿侧石可用手持喷枪清洗。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作业后确保道路见本色，无扬尘，无积水。到指定地点卸清车内垃圾。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每日工作结束后对车辆进行例行保养。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jc w:val="center"/>
              <w:rPr>
                <w:rFonts w:hint="eastAsia" w:ascii="仿宋" w:hAnsi="仿宋" w:eastAsia="仿宋" w:cs="仿宋"/>
                <w:color w:val="333333"/>
                <w:kern w:val="0"/>
                <w:sz w:val="24"/>
                <w:szCs w:val="24"/>
              </w:rPr>
            </w:pPr>
            <w:r>
              <w:rPr>
                <w:rFonts w:hint="eastAsia" w:ascii="仿宋" w:hAnsi="仿宋" w:eastAsia="仿宋" w:cs="仿宋"/>
                <w:b/>
                <w:bCs/>
                <w:sz w:val="24"/>
                <w:szCs w:val="24"/>
              </w:rPr>
              <w:t>（四）环卫车辆作业岗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192</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保障道路及市容洒水、清洗作业、罐式及容器、道路清扫、压缩式生活垃圾运输、对接式生活垃圾运输等环卫作业车辆的安全运作</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应按规定配设警示灯及安全作业警示设备，开启危险警示灯、箭头灯、自行加装的警示灯光（LED电子显示屏），摆放警示标志（路锥）；作业防护警示灯光。开启危险警示灯、箭头灯、雾灯（大雾或雾霾天气时使用），自行加装的警示灯光（LED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作业车辆在加水站加完水后，先打开后洒水喷头开关，行驶至作业路段前约50米时，开启作业防护警示灯光，缓慢减速停车，打开水泵开关，接入取力器，使用后洒水喷头进行洒水。洒水作业速度不得超过30 公里/小时。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tabs>
                <w:tab w:val="left" w:pos="1176"/>
              </w:tabs>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根据规定的洒水线路，沿着车辆前进的方向，原则上靠中间车道行驶进行降温降尘洒水作业。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tabs>
                <w:tab w:val="left" w:pos="1176"/>
              </w:tabs>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（五）公共厕所作业岗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195</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对公共厕所进行安全保洁作业</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作业时必须穿戴胶鞋、橡胶手套和口罩。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作业后用洗手液洗手，饮食前要漱口。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工具使用后定期消毒，与其他清洁工具分开保管。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作业时，将告示牌放置在门口，地面潮湿时应放置警示牌。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199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开通风扇进行作业。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禁止私拉乱接电线，安全用电。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jc w:val="center"/>
              <w:rPr>
                <w:rFonts w:hint="eastAsia" w:ascii="仿宋" w:hAnsi="仿宋" w:eastAsia="仿宋" w:cs="仿宋"/>
                <w:color w:val="333333"/>
                <w:kern w:val="0"/>
                <w:sz w:val="24"/>
                <w:szCs w:val="24"/>
              </w:rPr>
            </w:pPr>
            <w:r>
              <w:rPr>
                <w:rFonts w:hint="eastAsia" w:ascii="仿宋" w:hAnsi="仿宋" w:eastAsia="仿宋" w:cs="仿宋"/>
                <w:b/>
                <w:bCs/>
                <w:color w:val="333333"/>
                <w:kern w:val="0"/>
                <w:sz w:val="24"/>
                <w:szCs w:val="24"/>
              </w:rPr>
              <w:t>（六）压缩垃圾中转站作业岗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201</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安全处理中转的垃圾</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遵守机械设备安全操作规程，严禁非专业人员操作、使用相关设备。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遵守用电安全管理规定，严禁私拉电线和随意搭接临时电线；严禁私自改装、调试设备。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严格检查进站垃圾成分，严禁危险废物和违禁废物进站；严禁压缩非城市生活垃圾。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确认车厢尾门完全密闭不滴漏，方可进行垃圾压缩作业；大件垃圾应破碎后才能压缩。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翻料作业时必须确认垃圾桶挂钩牢固、其他人员在安全范围内方可操作翻桶作业，严防安全事故发生。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装卸车厢前必须确认车厢机械锁销和管线快速连接装置置于正确位置；装卸过程中，应清理车厢周边人员，并检查四柱升举油缸挂钩位置和箱体上升下降的稳定性。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做好机械设备日常维护保养工作，紧固机械设备螺栓，加注活动部位润滑油，减少磨损，保证设备工况良好。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严禁私自调高设备压力，避免损坏车厢设备。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209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站区内设置明显防火标志，按照国家标准配备消防器材，并保持完好。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210</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color w:val="333333"/>
                <w:kern w:val="0"/>
                <w:sz w:val="24"/>
                <w:szCs w:val="24"/>
              </w:rPr>
              <w:t>严禁带火种车辆进入作业区，严禁在作业区内吸烟。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发现设备故障应及时停机并报告。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333333"/>
                <w:kern w:val="0"/>
                <w:sz w:val="24"/>
                <w:szCs w:val="24"/>
              </w:rPr>
              <w:t>作业结束闭站，关闭设施设备电源，关闭门锁门闸，确保安全。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color w:val="333333"/>
                <w:kern w:val="0"/>
                <w:sz w:val="24"/>
                <w:szCs w:val="24"/>
              </w:rPr>
              <w:t>（七）车环卫车辆停车场作业岗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213</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保障车辆的正常安全运作</w:t>
            </w: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保证车辆安全性能良好，防污染措施完备，车门喷印清晰的单位名称。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生活垃圾运输车在运输过程应保持平稳、文明安全驾驶，确保沿途无垃圾漏撒和污水滴漏。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215</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可排放污水的收运点要排清收运车内污水，排放后及时清洗车辆和场地，车辆离开收运点前必须检查污水箱有无排清、污水阀有无关闭、污水槽有无堵塞。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216</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车辆操作员必须每日检查车辆防滴漏装置、污水箱等，发现问题，及时报修。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217</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建筑垃圾运输车离开工地前轮胎冲洗干净，运输过程中无撒漏。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218</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收运作业结束后，应及时清理车辆和作业场地，保持环境整洁。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bCs/>
                <w:color w:val="191919"/>
                <w:sz w:val="24"/>
                <w:szCs w:val="24"/>
              </w:rPr>
            </w:pPr>
            <w:r>
              <w:rPr>
                <w:rFonts w:hint="eastAsia" w:ascii="仿宋" w:hAnsi="仿宋" w:eastAsia="仿宋" w:cs="仿宋"/>
                <w:bCs/>
                <w:color w:val="191919"/>
                <w:sz w:val="24"/>
                <w:szCs w:val="24"/>
              </w:rPr>
              <w:t>219</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作业车辆进入垃圾终端处理设施后应遵守运营单位的相关卫生作业管理规定。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（八）作业人员休息区作业岗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220</w:t>
            </w:r>
          </w:p>
        </w:tc>
        <w:tc>
          <w:tcPr>
            <w:tcW w:w="1183" w:type="dxa"/>
            <w:vMerge w:val="restart"/>
            <w:noWrap w:val="0"/>
            <w:vAlign w:val="center"/>
          </w:tcPr>
          <w:p>
            <w:pPr>
              <w:pStyle w:val="8"/>
              <w:spacing w:before="0" w:beforeAutospacing="0" w:after="0" w:afterAutospacing="0" w:line="360" w:lineRule="auto"/>
              <w:jc w:val="both"/>
              <w:rPr>
                <w:rFonts w:hint="eastAsia" w:ascii="仿宋" w:hAnsi="仿宋" w:eastAsia="仿宋" w:cs="仿宋"/>
                <w:b/>
                <w:bCs/>
                <w:sz w:val="24"/>
                <w:szCs w:val="24"/>
              </w:rPr>
            </w:pPr>
            <w:r>
              <w:rPr>
                <w:rFonts w:hint="eastAsia" w:ascii="仿宋" w:hAnsi="仿宋" w:eastAsia="仿宋" w:cs="仿宋"/>
                <w:b/>
                <w:bCs/>
                <w:sz w:val="24"/>
                <w:szCs w:val="24"/>
              </w:rPr>
              <w:t>履行休息室安全使用的规定</w:t>
            </w: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垃圾压缩站环卫工人居住房间要保持干净，物品摆放整齐，作业和生活有序。不得将器材、设备、废旧物品、电线、电器、私人物品等物品混放在一起。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221</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垃圾压缩站、垃圾压缩站环卫工人居住房间必须配备消防器材，配备灭火器不少于两组，条件允许的可安装消防栓。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222</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sz w:val="24"/>
                <w:szCs w:val="24"/>
              </w:rPr>
            </w:pPr>
          </w:p>
        </w:tc>
        <w:tc>
          <w:tcPr>
            <w:tcW w:w="6692" w:type="dxa"/>
            <w:noWrap w:val="0"/>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垃圾压缩站环卫工人居住房间厨房、洗澡间要安装排气装置、漏电保护装置，煤气瓶（与灶台）放置保持在安全距离（连接软管长度不超过2米），不符合要求的关闭停止使用。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223</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sz w:val="24"/>
                <w:szCs w:val="24"/>
              </w:rPr>
            </w:pPr>
          </w:p>
        </w:tc>
        <w:tc>
          <w:tcPr>
            <w:tcW w:w="6692" w:type="dxa"/>
            <w:noWrap w:val="0"/>
            <w:vAlign w:val="center"/>
          </w:tcPr>
          <w:p>
            <w:pPr>
              <w:spacing w:line="360" w:lineRule="auto"/>
              <w:ind w:firstLine="480" w:firstLineChars="200"/>
              <w:rPr>
                <w:rFonts w:hint="eastAsia" w:ascii="仿宋" w:hAnsi="仿宋" w:eastAsia="仿宋" w:cs="仿宋"/>
                <w:color w:val="333333"/>
                <w:kern w:val="0"/>
                <w:sz w:val="24"/>
                <w:szCs w:val="24"/>
              </w:rPr>
            </w:pPr>
            <w:r>
              <w:rPr>
                <w:rFonts w:hint="eastAsia" w:ascii="仿宋" w:hAnsi="仿宋" w:eastAsia="仿宋" w:cs="仿宋"/>
                <w:sz w:val="24"/>
                <w:szCs w:val="24"/>
              </w:rPr>
              <w:t>禁止个人电动单车在垃圾压缩站和环卫工人居住、休息间充电。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pStyle w:val="8"/>
              <w:spacing w:before="0" w:beforeAutospacing="0" w:after="0" w:afterAutospacing="0" w:line="360" w:lineRule="auto"/>
              <w:jc w:val="both"/>
              <w:rPr>
                <w:rFonts w:hint="eastAsia" w:ascii="仿宋" w:hAnsi="仿宋" w:eastAsia="仿宋" w:cs="仿宋"/>
                <w:color w:val="191919"/>
                <w:sz w:val="24"/>
                <w:szCs w:val="24"/>
              </w:rPr>
            </w:pPr>
            <w:r>
              <w:rPr>
                <w:rFonts w:hint="eastAsia" w:ascii="仿宋" w:hAnsi="仿宋" w:eastAsia="仿宋" w:cs="仿宋"/>
                <w:color w:val="191919"/>
                <w:sz w:val="24"/>
                <w:szCs w:val="24"/>
              </w:rPr>
              <w:t>224</w:t>
            </w:r>
          </w:p>
        </w:tc>
        <w:tc>
          <w:tcPr>
            <w:tcW w:w="1183" w:type="dxa"/>
            <w:vMerge w:val="continue"/>
            <w:noWrap w:val="0"/>
            <w:vAlign w:val="center"/>
          </w:tcPr>
          <w:p>
            <w:pPr>
              <w:pStyle w:val="8"/>
              <w:spacing w:before="0" w:beforeAutospacing="0" w:after="0" w:afterAutospacing="0" w:line="360" w:lineRule="auto"/>
              <w:jc w:val="both"/>
              <w:rPr>
                <w:rFonts w:hint="eastAsia" w:ascii="仿宋" w:hAnsi="仿宋" w:eastAsia="仿宋" w:cs="仿宋"/>
                <w:sz w:val="24"/>
                <w:szCs w:val="24"/>
              </w:rPr>
            </w:pPr>
          </w:p>
        </w:tc>
        <w:tc>
          <w:tcPr>
            <w:tcW w:w="6692" w:type="dxa"/>
            <w:noWrap w:val="0"/>
            <w:vAlign w:val="center"/>
          </w:tcPr>
          <w:p>
            <w:pPr>
              <w:spacing w:line="360" w:lineRule="auto"/>
              <w:ind w:firstLine="480" w:firstLineChars="200"/>
              <w:rPr>
                <w:rFonts w:hint="eastAsia" w:ascii="仿宋" w:hAnsi="仿宋" w:eastAsia="仿宋" w:cs="仿宋"/>
                <w:b/>
                <w:bCs/>
                <w:color w:val="333333"/>
                <w:kern w:val="0"/>
                <w:sz w:val="24"/>
                <w:szCs w:val="24"/>
              </w:rPr>
            </w:pPr>
            <w:r>
              <w:rPr>
                <w:rFonts w:hint="eastAsia" w:ascii="仿宋" w:hAnsi="仿宋" w:eastAsia="仿宋" w:cs="仿宋"/>
                <w:sz w:val="24"/>
                <w:szCs w:val="24"/>
              </w:rPr>
              <w:t>不得随便改变垃圾压缩站和环卫工人居住房间结构，不得临时搭建阁楼。</w:t>
            </w:r>
          </w:p>
        </w:tc>
      </w:tr>
    </w:tbl>
    <w:p>
      <w:pPr>
        <w:rPr>
          <w:rFonts w:hint="eastAsia" w:ascii="仿宋" w:hAnsi="仿宋" w:eastAsia="仿宋" w:cs="仿宋"/>
          <w:color w:val="auto"/>
          <w:sz w:val="24"/>
          <w:szCs w:val="24"/>
          <w:lang w:val="en-US" w:eastAsia="zh-CN"/>
        </w:rPr>
      </w:pPr>
    </w:p>
    <w:p>
      <w:pPr>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br w:type="page"/>
      </w:r>
    </w:p>
    <w:p>
      <w:pPr>
        <w:numPr>
          <w:ilvl w:val="0"/>
          <w:numId w:val="0"/>
        </w:numPr>
        <w:spacing w:line="360" w:lineRule="auto"/>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附件7：</w:t>
      </w:r>
      <w:r>
        <w:rPr>
          <w:rFonts w:hint="eastAsia" w:ascii="宋体" w:hAnsi="宋体" w:eastAsia="宋体" w:cs="宋体"/>
          <w:b/>
          <w:bCs/>
          <w:color w:val="auto"/>
          <w:sz w:val="28"/>
          <w:szCs w:val="28"/>
        </w:rPr>
        <w:t>《广州市城市管理和综合执法局关于开展生活垃圾压缩站日常巡查督导工作的通知》</w:t>
      </w:r>
    </w:p>
    <w:p>
      <w:pPr>
        <w:widowControl w:val="0"/>
        <w:numPr>
          <w:ilvl w:val="0"/>
          <w:numId w:val="0"/>
        </w:numPr>
        <w:spacing w:line="360" w:lineRule="auto"/>
        <w:jc w:val="center"/>
        <w:rPr>
          <w:rFonts w:hint="eastAsia" w:ascii="仿宋" w:hAnsi="仿宋" w:eastAsia="仿宋" w:cs="仿宋"/>
          <w:b/>
          <w:bCs/>
          <w:color w:val="auto"/>
          <w:sz w:val="28"/>
          <w:szCs w:val="28"/>
        </w:rPr>
      </w:pPr>
    </w:p>
    <w:p>
      <w:pPr>
        <w:widowControl w:val="0"/>
        <w:numPr>
          <w:ilvl w:val="0"/>
          <w:numId w:val="0"/>
        </w:numPr>
        <w:spacing w:line="360" w:lineRule="auto"/>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广州市城市管理和综合执法局关于开展生活垃圾压缩站</w:t>
      </w:r>
    </w:p>
    <w:p>
      <w:pPr>
        <w:widowControl w:val="0"/>
        <w:numPr>
          <w:ilvl w:val="0"/>
          <w:numId w:val="0"/>
        </w:numPr>
        <w:spacing w:line="360" w:lineRule="auto"/>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日常巡查督导工作的通知</w:t>
      </w:r>
    </w:p>
    <w:p>
      <w:pPr>
        <w:widowControl w:val="0"/>
        <w:numPr>
          <w:ilvl w:val="0"/>
          <w:numId w:val="0"/>
        </w:numPr>
        <w:spacing w:line="360" w:lineRule="auto"/>
        <w:jc w:val="both"/>
        <w:rPr>
          <w:rFonts w:hint="eastAsia" w:ascii="仿宋" w:hAnsi="仿宋" w:eastAsia="仿宋" w:cs="仿宋"/>
          <w:color w:val="auto"/>
          <w:sz w:val="24"/>
          <w:szCs w:val="24"/>
        </w:rPr>
      </w:pPr>
    </w:p>
    <w:p>
      <w:pPr>
        <w:widowControl w:val="0"/>
        <w:numPr>
          <w:ilvl w:val="0"/>
          <w:numId w:val="0"/>
        </w:num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各区城市管理和综合执法局（南沙区城市管理局）：</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为深入贯彻落实习近平生态文明思想和习近平总书记关于生活垃圾分类系列重要指示批示精神，进一步提高生活垃圾分类全链条工作的认识，结合生活垃圾压缩站及周边环境治理工作，着力解决生活垃圾压缩站管理不规范、监管能力薄弱等突出问题，从即日开始，我局牵头组织开展生活垃圾压缩站巡查督导工作。现将有关事项明确如下：</w:t>
      </w:r>
    </w:p>
    <w:p>
      <w:pPr>
        <w:widowControl w:val="0"/>
        <w:numPr>
          <w:ilvl w:val="0"/>
          <w:numId w:val="90"/>
        </w:numPr>
        <w:spacing w:line="360" w:lineRule="auto"/>
        <w:ind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工作目的</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通过开展生活垃圾压缩站日常巡查督导工作，贯彻《广州市生活垃圾分类管理条例》和《广州市城市管理专用作业车辆和设备管理办法》（穗城管规字〔2018〕7号），进一步规范全市生活垃圾收运管理秩序，规范运营单位运输作业行为，按照“三化四分类”的总要求，加强区、街（镇）生活垃圾压缩站及周边环境治理工作；健全生活垃圾压缩站环境卫生、分类收运管理机制，提高监管能力，着力解决压缩站及周边环境卫生、混收混装混运等环节存在的突出问题，推动全市垃圾压缩站技术改造，形成“以检查促管理、以管理促规范、以规范促提升”的工作机制，推动广州生活垃圾分类工作持续走在全国前列。</w:t>
      </w:r>
    </w:p>
    <w:p>
      <w:pPr>
        <w:widowControl w:val="0"/>
        <w:numPr>
          <w:ilvl w:val="0"/>
          <w:numId w:val="90"/>
        </w:numPr>
        <w:spacing w:line="360" w:lineRule="auto"/>
        <w:ind w:left="0" w:leftChars="0"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巡查督导重点内容 </w:t>
      </w:r>
    </w:p>
    <w:p>
      <w:pPr>
        <w:widowControl w:val="0"/>
        <w:numPr>
          <w:ilvl w:val="0"/>
          <w:numId w:val="0"/>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针对当前生活垃圾压缩站存在的突出问题，重点督导和整治以下几方面内容：</w:t>
      </w:r>
    </w:p>
    <w:p>
      <w:pPr>
        <w:widowControl w:val="0"/>
        <w:numPr>
          <w:ilvl w:val="0"/>
          <w:numId w:val="91"/>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压缩站内外环境卫生问题。</w:t>
      </w:r>
    </w:p>
    <w:p>
      <w:pPr>
        <w:widowControl w:val="0"/>
        <w:numPr>
          <w:ilvl w:val="0"/>
          <w:numId w:val="91"/>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压缩站管理秩序问题。</w:t>
      </w:r>
    </w:p>
    <w:p>
      <w:pPr>
        <w:widowControl w:val="0"/>
        <w:numPr>
          <w:ilvl w:val="0"/>
          <w:numId w:val="91"/>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压缩站车辆及设备“跑、冒、滴、漏”问题。</w:t>
      </w:r>
    </w:p>
    <w:p>
      <w:pPr>
        <w:widowControl w:val="0"/>
        <w:numPr>
          <w:ilvl w:val="0"/>
          <w:numId w:val="91"/>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压缩站设备管养及操作问题。</w:t>
      </w:r>
    </w:p>
    <w:p>
      <w:pPr>
        <w:widowControl w:val="0"/>
        <w:numPr>
          <w:ilvl w:val="0"/>
          <w:numId w:val="91"/>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压缩站工作环境（异味臭气和噪音扰民）及污水排放问题。</w:t>
      </w:r>
    </w:p>
    <w:p>
      <w:pPr>
        <w:widowControl w:val="0"/>
        <w:numPr>
          <w:ilvl w:val="0"/>
          <w:numId w:val="91"/>
        </w:numPr>
        <w:spacing w:line="360" w:lineRule="auto"/>
        <w:ind w:left="239" w:leftChars="114" w:firstLine="240" w:firstLineChars="1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压缩站未建立健全台账问题。</w:t>
      </w:r>
    </w:p>
    <w:p>
      <w:pPr>
        <w:widowControl w:val="0"/>
        <w:numPr>
          <w:ilvl w:val="0"/>
          <w:numId w:val="90"/>
        </w:numPr>
        <w:spacing w:line="360" w:lineRule="auto"/>
        <w:ind w:left="0" w:leftChars="0"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责任分工 </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市城市管理和综合执法局组织专业检查人员开展全市生活垃圾压缩站日常巡查督导工作。区城市管和综合执法局环卫科负责落实属地监管责任，督促生活垃圾压缩站业主单位整改检查中发现的存在问题。</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生活垃圾压缩站业主单位负责履行管理主体责任，加强作业过程监管，落实压缩站日常维护管养，规范垃圾收运作业，建立健全环境卫生管理机制。</w:t>
      </w:r>
    </w:p>
    <w:p>
      <w:pPr>
        <w:widowControl w:val="0"/>
        <w:numPr>
          <w:ilvl w:val="0"/>
          <w:numId w:val="90"/>
        </w:numPr>
        <w:spacing w:line="360" w:lineRule="auto"/>
        <w:ind w:left="0" w:leftChars="0"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 xml:space="preserve">检查方式 </w:t>
      </w:r>
    </w:p>
    <w:p>
      <w:pPr>
        <w:widowControl w:val="0"/>
        <w:numPr>
          <w:ilvl w:val="0"/>
          <w:numId w:val="0"/>
        </w:numPr>
        <w:spacing w:line="360" w:lineRule="auto"/>
        <w:ind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建立“周自检、月抽查、季循环、全覆盖”的工作机制，从压缩站环境治理、作业秩序、防“跑、冒、滴、漏”功能性检查</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专用功能运行状况、污水排放及工作环境质量、管理台账等六个方面，共32项指标，进行全方位的检查评价</w:t>
      </w:r>
      <w:r>
        <w:rPr>
          <w:rFonts w:hint="eastAsia" w:ascii="仿宋" w:hAnsi="仿宋" w:eastAsia="仿宋" w:cs="仿宋"/>
          <w:color w:val="auto"/>
          <w:sz w:val="24"/>
          <w:szCs w:val="24"/>
          <w:lang w:eastAsia="zh-CN"/>
        </w:rPr>
        <w:t>。</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周自检：由各区生活垃圾压缩站管理人员或属地管理单位、部门按照周自检的检查内容及要求进行自行检查，并填写好压缩站日常管理相关记录，形成台账资料在季度检查中备查，并及时更新上报压缩站统计信息清单。</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月抽查：由市城管局组织人员每月根据现有压缩站总数（约300座）的40%（120座次）进行抽查，按月度抽查的检查内容及要求进行检查。</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季普查：由市城管局组织人员根据现有压缩站总数（约300座）进行每三个月检查一次，按季度检查的检查内容及要求进行全面检查。</w:t>
      </w:r>
    </w:p>
    <w:p>
      <w:pPr>
        <w:widowControl w:val="0"/>
        <w:numPr>
          <w:ilvl w:val="0"/>
          <w:numId w:val="90"/>
        </w:numPr>
        <w:spacing w:line="360" w:lineRule="auto"/>
        <w:ind w:left="0" w:leftChars="0"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检查内容</w:t>
      </w:r>
    </w:p>
    <w:p>
      <w:pPr>
        <w:widowControl w:val="0"/>
        <w:numPr>
          <w:ilvl w:val="0"/>
          <w:numId w:val="92"/>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周自检：</w:t>
      </w:r>
    </w:p>
    <w:p>
      <w:pPr>
        <w:widowControl w:val="0"/>
        <w:numPr>
          <w:ilvl w:val="0"/>
          <w:numId w:val="93"/>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压缩站硬件设施</w:t>
      </w:r>
    </w:p>
    <w:p>
      <w:pPr>
        <w:widowControl w:val="0"/>
        <w:numPr>
          <w:ilvl w:val="0"/>
          <w:numId w:val="9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主体设施：压缩站是否配套压缩设备或压缩转运车；压缩站主体设施及容器是否封闭；道路符合有关要求，满足车辆负荷和通行要求，道路宽度、转弯半径与承载能力等是否满足最大转运车辆满载运行的要求。</w:t>
      </w:r>
    </w:p>
    <w:p>
      <w:pPr>
        <w:widowControl w:val="0"/>
        <w:numPr>
          <w:ilvl w:val="0"/>
          <w:numId w:val="9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配套设施：压缩站作业区域是否配套供水、供电系统和照明设施；排水系统要雨污分流，是否达到要求。</w:t>
      </w:r>
    </w:p>
    <w:p>
      <w:pPr>
        <w:widowControl w:val="0"/>
        <w:numPr>
          <w:ilvl w:val="0"/>
          <w:numId w:val="9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设备作业系统：压缩设备是否具有封闭卸料、填装压实(压缩)、装箱启运等功能；是否设有联动或限位装置、锁紧或限位装置；压缩设备各接口连接配合是否良好；液压设备连接是否牢固、工作可靠。</w:t>
      </w:r>
    </w:p>
    <w:p>
      <w:pPr>
        <w:widowControl w:val="0"/>
        <w:numPr>
          <w:ilvl w:val="0"/>
          <w:numId w:val="94"/>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污染控制设备与设施配置：是否配套建设通风、降尘、除臭、降噪设施；是否采取有效污水处理措施。</w:t>
      </w:r>
    </w:p>
    <w:p>
      <w:pPr>
        <w:widowControl w:val="0"/>
        <w:numPr>
          <w:ilvl w:val="0"/>
          <w:numId w:val="9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站内运行管理</w:t>
      </w:r>
    </w:p>
    <w:p>
      <w:pPr>
        <w:widowControl w:val="0"/>
        <w:numPr>
          <w:ilvl w:val="0"/>
          <w:numId w:val="95"/>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收集和运输作业：收集、转运车辆和压缩站设施是否配套；转运车辆型号和载重量满足转运作业要求,是否密闭运输并保持车况良</w:t>
      </w:r>
      <w:r>
        <w:rPr>
          <w:rFonts w:hint="eastAsia" w:ascii="仿宋" w:hAnsi="仿宋" w:eastAsia="仿宋" w:cs="仿宋"/>
          <w:color w:val="auto"/>
          <w:sz w:val="24"/>
          <w:szCs w:val="24"/>
          <w:lang w:val="en-US" w:eastAsia="zh-CN"/>
        </w:rPr>
        <w:t>好</w:t>
      </w:r>
      <w:r>
        <w:rPr>
          <w:rFonts w:hint="eastAsia" w:ascii="仿宋" w:hAnsi="仿宋" w:eastAsia="仿宋" w:cs="仿宋"/>
          <w:color w:val="auto"/>
          <w:sz w:val="24"/>
          <w:szCs w:val="24"/>
        </w:rPr>
        <w:t>。</w:t>
      </w:r>
    </w:p>
    <w:p>
      <w:pPr>
        <w:widowControl w:val="0"/>
        <w:numPr>
          <w:ilvl w:val="0"/>
          <w:numId w:val="95"/>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站内转运作业：垃圾卸车、压实(压缩)、装车过程是否按照操作规程执行且作业规范；是否有应对垃圾转运高峰和紧急状况的措施；有非生活垃圾混入，是否能及时处理；站内转运车辆和操作人员工作秩序是否良好，无“喧哗”、“吵闹”现场发生。</w:t>
      </w:r>
    </w:p>
    <w:p>
      <w:pPr>
        <w:widowControl w:val="0"/>
        <w:numPr>
          <w:ilvl w:val="0"/>
          <w:numId w:val="95"/>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站区清理消杀：进站垃圾是否能做到日产日清，不堆积过夜；作业现场消杀(蚊、蝇、鼠等)措施是否有效；站区地面应及时冲洗、清理，地面是否脏乱。</w:t>
      </w:r>
    </w:p>
    <w:p>
      <w:pPr>
        <w:widowControl w:val="0"/>
        <w:numPr>
          <w:ilvl w:val="0"/>
          <w:numId w:val="95"/>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运行管理：压缩站管理架构是否健全，应安排专人管理；管理人员和操作人员是否持证上岗，熟悉运行管理要求和设施操作规程；有运行作业手册及设备操作维护保养手册，规章制度和岗位职责明确、健全，实施是否到位；场内标识标牌（包括场地标识、设备标识、安全标识）是否齐全、规范。</w:t>
      </w:r>
    </w:p>
    <w:p>
      <w:pPr>
        <w:widowControl w:val="0"/>
        <w:numPr>
          <w:ilvl w:val="0"/>
          <w:numId w:val="95"/>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应急处理：生活垃圾压缩站有紧急突发情况发生，是否具备有效的应急处置预案或措施。</w:t>
      </w:r>
    </w:p>
    <w:p>
      <w:pPr>
        <w:widowControl w:val="0"/>
        <w:numPr>
          <w:ilvl w:val="0"/>
          <w:numId w:val="9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污染防控</w:t>
      </w:r>
    </w:p>
    <w:p>
      <w:pPr>
        <w:widowControl w:val="0"/>
        <w:numPr>
          <w:ilvl w:val="0"/>
          <w:numId w:val="96"/>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站内污染控制：站内进行全面污染控制，降噪、通风、降尘、除臭等污染控制效果是否良好。</w:t>
      </w:r>
    </w:p>
    <w:p>
      <w:pPr>
        <w:widowControl w:val="0"/>
        <w:numPr>
          <w:ilvl w:val="0"/>
          <w:numId w:val="96"/>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污水处理：站内污水接驳市政污水管网的，排污渠道是否畅通；排污渠道是否合理遮盖；是否建有沉沙池、隔油池或化粪池；未接驳市政污水管网的，是否建有污水收集池，配备污水收集车，定期将污水运输到市污水厂处理；出站转运车辆和垃圾桶站内清洗污水是否流入周边明渠（含下水道等非污水管网）。</w:t>
      </w:r>
    </w:p>
    <w:p>
      <w:pPr>
        <w:widowControl w:val="0"/>
        <w:numPr>
          <w:ilvl w:val="0"/>
          <w:numId w:val="96"/>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环境监测：除臭设施是否配备并正常使用，需明确是否配备除臭设施，如有配备的应注明是否“正常使用”或“故障”或“未使用”；压缩站设备运作时或在正常运营时间内是否噪音扰民现象，噪音值是否超过额定数值。</w:t>
      </w:r>
    </w:p>
    <w:p>
      <w:pPr>
        <w:widowControl w:val="0"/>
        <w:numPr>
          <w:ilvl w:val="0"/>
          <w:numId w:val="9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劳动安全与卫生管理</w:t>
      </w:r>
    </w:p>
    <w:p>
      <w:pPr>
        <w:widowControl w:val="0"/>
        <w:numPr>
          <w:ilvl w:val="0"/>
          <w:numId w:val="97"/>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劳动安全：压缩站的卸料平台等重要和危险位置是否设立醒目的标牌或标志；机械设备的旋转件、启闭装置等零部件是否设置防护罩或警示标志；填装、起吊、倒车等工序的相关设施、设备上是否设置警示标志、警报装置；站内是否配备劳动保护用具、用品和专用设施。</w:t>
      </w:r>
    </w:p>
    <w:p>
      <w:pPr>
        <w:widowControl w:val="0"/>
        <w:numPr>
          <w:ilvl w:val="0"/>
          <w:numId w:val="97"/>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卫生管理：站内应做好卫生防疫工作，是否采取防虫、灭虫、消毒等措施；作业完毕应及时冲洗站区地面，确保地面无垃圾、无污水、无杂物乱堆放、无油（污）迹；定期开展站内卫生清洁工作，确保墙面无污迹、无乱张贴、乱拉挂、天花无蜘蛛网和设备外表无灰尘、无锈蚀、无损坏现象等。</w:t>
      </w:r>
    </w:p>
    <w:p>
      <w:pPr>
        <w:widowControl w:val="0"/>
        <w:numPr>
          <w:ilvl w:val="0"/>
          <w:numId w:val="93"/>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维护保养管理台账</w:t>
      </w:r>
    </w:p>
    <w:p>
      <w:pPr>
        <w:widowControl w:val="0"/>
        <w:numPr>
          <w:ilvl w:val="0"/>
          <w:numId w:val="9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维护保养：压缩站内各种机械设备应进行日常维护保养，是否按照有关规定进行大、中、小修并有相关维修记录，各种机械设备达到使用年限必须进行报废。</w:t>
      </w:r>
    </w:p>
    <w:p>
      <w:pPr>
        <w:widowControl w:val="0"/>
        <w:numPr>
          <w:ilvl w:val="0"/>
          <w:numId w:val="98"/>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管理台账：压缩站内是否有相关运行管理记录台账（垃圾量日、月、年记录；掌握日污水产生量及数量；作业日记；燃油料消耗记录；车辆和设备运行维护记录；每日进站车辆数量和出站箱数；事故及其处理记录；消杀记录；管理手册等）。</w:t>
      </w:r>
    </w:p>
    <w:p>
      <w:pPr>
        <w:widowControl w:val="0"/>
        <w:numPr>
          <w:ilvl w:val="0"/>
          <w:numId w:val="92"/>
        </w:numPr>
        <w:spacing w:line="360" w:lineRule="auto"/>
        <w:ind w:left="0"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月抽查、季普查：</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根据《广州市城市管理专用作业车辆和设备管理办法》第十一条的检查内容进行月度抽查、季度检查。主要检查内容有：</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压缩站环境治理：压缩站显眼处应设有标识牌，内容标准：压缩站名称、管理单位、责任人、联系电话、投诉电话；尺寸大小为：80cm*60cm；保持站内外卫生清扫保洁工作，无垃圾撒落和污水遍地问题发生，保持站内外环境卫生干净整洁；进入压缩站车辆，车容车貌要整洁，按规定及时清洗消毒，塑料垃圾桶保持外观整洁方可离站；压缩站内地面应保持平整，无明显的龟裂现象；墙面无污迹、门窗无破损、天花无蜘蛛网，墙面无乱张贴、乱拉挂现象；积极做好设备保养，应保持整洁，无锈迹、污垢、积尘；警告、警示标识、操作指 示标识应完好齐全。</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作业秩序：操作人员规范操作设备，对进站内的垃圾进行装填和压缩作业；作业人员应分类收集、运输生活垃圾；大件垃圾应破碎后才能压缩，不能压缩非城市生活垃圾；垃圾收集车辆应服从指挥、有序等候、排队进站、文明作业，装卸垃圾桶应轻拿轻放，不能在站内喧哗、吵闹。</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防“跑、冒、滴、漏”功能性检查：工作现场应设有冲洗设备，应具备相应清洗功能；压缩机防尘罩应保持完好，功能正常；压缩机排水装置应无明显损坏，功能正常；压缩站车厢载垃圾前必须把排污口打开，尽量排尽压缩过程中产生的污水；压缩装填完成后，确保排污口全部关闭、阀门密闭无滴漏、厢体外无吊挂垃圾，车身整洁再上路。</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4.专用功能运行状况：电控系统工作正常；各锁定装置应运行正常（锁定装置包括：插板，挡板，抱钩或锁拉钩，底盘插销）；举升装置应运行正常无损坏；液压系统最高压力应在设定的额定值范围内，功能正常；液压油箱内油位高度位于液位计1/2-2/3；液压系统和机械部件应运行稳定无异响；各关键部位的润滑系、液压系统应无漏油。</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5.污水排放、工作环境质量：压缩站污水收集系统应保持完好；排污渠道内无污泥沉积和杂物；站内污水口无木板和其他物品盖住；压缩站应设有降噪、通风、降尘、除臭等设施，防止臭气、噪音扰民现象发生（在站门口测量现场噪声，工作时噪声值≤70分贝）；定期组织站内消杀，确保站内无蚊、蝇、蟑螂、老鼠；出站车辆（包括手推车、翻斗车、垃圾运输车）和垃圾桶均要在站内清洗。</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6.管理台账：车辆和设备运行维护记录；压缩站管理台账包括：每日进站的车辆数量和出站厢数登记的台账、生活垃圾日压缩转运量登记本、四害消杀记录台账、周自检记录。</w:t>
      </w:r>
    </w:p>
    <w:p>
      <w:pPr>
        <w:widowControl w:val="0"/>
        <w:numPr>
          <w:ilvl w:val="0"/>
          <w:numId w:val="0"/>
        </w:numPr>
        <w:spacing w:line="360" w:lineRule="auto"/>
        <w:ind w:firstLine="482" w:firstLineChars="200"/>
        <w:jc w:val="both"/>
        <w:rPr>
          <w:rFonts w:hint="eastAsia" w:ascii="仿宋" w:hAnsi="仿宋" w:eastAsia="仿宋" w:cs="仿宋"/>
          <w:color w:val="auto"/>
          <w:sz w:val="24"/>
          <w:szCs w:val="24"/>
        </w:rPr>
      </w:pPr>
      <w:r>
        <w:rPr>
          <w:rFonts w:hint="eastAsia" w:ascii="仿宋" w:hAnsi="仿宋" w:eastAsia="仿宋" w:cs="仿宋"/>
          <w:b/>
          <w:bCs/>
          <w:color w:val="auto"/>
          <w:sz w:val="24"/>
          <w:szCs w:val="24"/>
        </w:rPr>
        <w:t>六、整改措施</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月度抽查：对于现场发现的问题，按照属地管理原则向所属区城管局发出《生活垃圾压缩站整改通知书》。对于需整改的事项，区城管局须在5个工作日内督促作业单位落实整改措施，并向市城市管理和综合执法局（环卫处）书面反馈整改情况。</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2.季度检查：对于开具的检查报告有不符合项目描述的且判定不合格，作业单位必须按照检查组给出的期限内完成整改，并对所提不符合项制定整改措施并予以实施，检查组对整改措施计划的可行性及整改措施证实资料进行评价并在下次现场审核时跟踪验证实施的有效性。</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每周将生活垃圾压缩站检查到的问题在《城市管理专用车辆和设备定期检查工作周报》中反馈，每月、每季度将生活垃圾压缩站月度抽查、季度检查情况在《广州市环境卫生作业质量监测情况通报》上进行通报。</w:t>
      </w:r>
    </w:p>
    <w:p>
      <w:pPr>
        <w:widowControl w:val="0"/>
        <w:numPr>
          <w:ilvl w:val="0"/>
          <w:numId w:val="0"/>
        </w:numPr>
        <w:spacing w:line="360" w:lineRule="auto"/>
        <w:ind w:firstLine="482" w:firstLineChars="200"/>
        <w:jc w:val="both"/>
        <w:rPr>
          <w:rFonts w:hint="eastAsia" w:ascii="仿宋" w:hAnsi="仿宋" w:eastAsia="仿宋" w:cs="仿宋"/>
          <w:b/>
          <w:bCs/>
          <w:color w:val="auto"/>
          <w:sz w:val="24"/>
          <w:szCs w:val="24"/>
        </w:rPr>
      </w:pPr>
      <w:r>
        <w:rPr>
          <w:rFonts w:hint="eastAsia" w:ascii="仿宋" w:hAnsi="仿宋" w:eastAsia="仿宋" w:cs="仿宋"/>
          <w:b/>
          <w:bCs/>
          <w:color w:val="auto"/>
          <w:sz w:val="24"/>
          <w:szCs w:val="24"/>
        </w:rPr>
        <w:t>七、工作要求</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一）提高政治站位，加强组织领导。开展生活垃圾压缩站日常巡查督导工作，是维护城市管理秩序的重要工作，是衔接垃圾端前分类和后端处置的中间环节，是生活垃圾分类工作取得实效的具体体现，各区、各部门要充分认识生活垃圾压缩站及周边环境治理的重要性、紧迫性和艰巨性，加强对治理工作的组织领导，针对检查中发现的问题及时研究解决，真正把各项整治工作措施落到实处。</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二）重视评价结果，加大整治力度。开展生活垃圾压缩站（点）日常巡查督导工作与城市管理考核评估工作息息相关，检查反馈的问题和整改处理结果直接与每年的环卫设备设施采购分配工作挂钩，与每季度的城市管理综合考评结果挂钩，各区务必重视。</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三）巩固整治成效，建立长效机制。整治是手段，巩固才是目的。各区要充分利用整治成效，打牢基础，加大投入，积极应用新技术、新设备，从臭气、污水、噪音、周边环境等方面整治入手，建立常态化管理工作机制，形成全面、系统、长效的生活垃圾分类体系，提高压缩站的管养水平，进一步巩固治理工作成果，努力实现生活垃圾压缩站卫生整洁、布局合理、达标排放、管理规范的工作目标。</w:t>
      </w:r>
    </w:p>
    <w:p>
      <w:pPr>
        <w:widowControl w:val="0"/>
        <w:numPr>
          <w:ilvl w:val="0"/>
          <w:numId w:val="0"/>
        </w:numPr>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广州市城市管理和综合执法局</w:t>
      </w:r>
    </w:p>
    <w:p>
      <w:pPr>
        <w:widowControl w:val="0"/>
        <w:numPr>
          <w:ilvl w:val="0"/>
          <w:numId w:val="0"/>
        </w:numPr>
        <w:spacing w:line="360" w:lineRule="auto"/>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2019 年 9 月 25 日</w:t>
      </w: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pPr>
        <w:numPr>
          <w:ilvl w:val="0"/>
          <w:numId w:val="0"/>
        </w:numPr>
        <w:spacing w:line="360" w:lineRule="auto"/>
        <w:outlineLvl w:val="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附件8：</w:t>
      </w:r>
      <w:r>
        <w:rPr>
          <w:rFonts w:hint="eastAsia" w:ascii="宋体" w:hAnsi="宋体" w:eastAsia="宋体" w:cs="宋体"/>
          <w:b/>
          <w:bCs/>
          <w:color w:val="auto"/>
          <w:sz w:val="28"/>
          <w:szCs w:val="28"/>
        </w:rPr>
        <w:t>《广州市环卫精细化作业和管理指引》</w:t>
      </w:r>
    </w:p>
    <w:p>
      <w:pPr>
        <w:widowControl w:val="0"/>
        <w:numPr>
          <w:ilvl w:val="0"/>
          <w:numId w:val="0"/>
        </w:numPr>
        <w:spacing w:line="360" w:lineRule="auto"/>
        <w:jc w:val="center"/>
        <w:rPr>
          <w:rFonts w:hint="eastAsia" w:ascii="黑体" w:hAnsi="黑体" w:eastAsia="黑体" w:cs="黑体"/>
          <w:b/>
          <w:bCs/>
          <w:color w:val="auto"/>
          <w:sz w:val="28"/>
          <w:szCs w:val="28"/>
        </w:rPr>
      </w:pPr>
    </w:p>
    <w:p>
      <w:pPr>
        <w:widowControl w:val="0"/>
        <w:numPr>
          <w:ilvl w:val="0"/>
          <w:numId w:val="0"/>
        </w:numPr>
        <w:spacing w:line="360" w:lineRule="auto"/>
        <w:jc w:val="center"/>
        <w:rPr>
          <w:rFonts w:hint="eastAsia" w:ascii="黑体" w:hAnsi="黑体" w:eastAsia="黑体" w:cs="黑体"/>
          <w:b/>
          <w:bCs/>
          <w:color w:val="auto"/>
          <w:sz w:val="28"/>
          <w:szCs w:val="28"/>
        </w:rPr>
      </w:pPr>
      <w:r>
        <w:rPr>
          <w:rFonts w:hint="eastAsia" w:ascii="黑体" w:hAnsi="黑体" w:eastAsia="黑体" w:cs="黑体"/>
          <w:b/>
          <w:bCs/>
          <w:color w:val="auto"/>
          <w:sz w:val="28"/>
          <w:szCs w:val="28"/>
        </w:rPr>
        <w:t>广州市环卫精细化作业和管理指引</w:t>
      </w:r>
    </w:p>
    <w:p>
      <w:pPr>
        <w:widowControl w:val="0"/>
        <w:numPr>
          <w:ilvl w:val="0"/>
          <w:numId w:val="0"/>
        </w:num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部分条文（试行）</w:t>
      </w:r>
    </w:p>
    <w:p>
      <w:pPr>
        <w:widowControl w:val="0"/>
        <w:numPr>
          <w:ilvl w:val="0"/>
          <w:numId w:val="0"/>
        </w:num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广州市城市管理和综合执法局</w:t>
      </w:r>
    </w:p>
    <w:p>
      <w:pPr>
        <w:widowControl w:val="0"/>
        <w:numPr>
          <w:ilvl w:val="0"/>
          <w:numId w:val="0"/>
        </w:num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2021 年 1 月</w:t>
      </w:r>
    </w:p>
    <w:p>
      <w:pPr>
        <w:outlineLvl w:val="9"/>
        <w:rPr>
          <w:rFonts w:hint="eastAsia"/>
        </w:rPr>
      </w:pPr>
    </w:p>
    <w:p>
      <w:pPr>
        <w:widowControl w:val="0"/>
        <w:numPr>
          <w:ilvl w:val="0"/>
          <w:numId w:val="99"/>
        </w:numPr>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前言</w:t>
      </w:r>
    </w:p>
    <w:p>
      <w:pPr>
        <w:widowControl w:val="0"/>
        <w:numPr>
          <w:ilvl w:val="0"/>
          <w:numId w:val="0"/>
        </w:numPr>
        <w:spacing w:line="360" w:lineRule="auto"/>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城市环境卫生是城市管理的重点工作之一，是城市管理水平提升和居民生活质量提高最直观、最直接的标志之一。随着城市规模的扩大、城市内涵的丰富和人民群众对于人居环境质量要求的提高，环卫行业原有的粗放型管理模式已经不适应新形式的需要，必须通过全面推行精细化管理，建立起全域覆盖、无缝隙管理、高质量保洁的长效管理体制，彻底消除卫生死角和管理盲区，整体提高环境卫生管理水平，才能不断满足人民群众日益增长的市容环境卫生需求，提高人民群众的获得感和幸福感。为全面提升本市环境卫生管理水平，强力推进城市环境卫生工作迈上新台阶，给人民群众打造更加干净、整洁、平安、有序的城市人居环境，特制定本指引。</w:t>
      </w:r>
    </w:p>
    <w:p>
      <w:pPr>
        <w:widowControl w:val="0"/>
        <w:numPr>
          <w:ilvl w:val="0"/>
          <w:numId w:val="99"/>
        </w:numPr>
        <w:spacing w:line="360" w:lineRule="auto"/>
        <w:ind w:left="0" w:leftChars="0" w:firstLine="0" w:firstLine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适用范围</w:t>
      </w:r>
    </w:p>
    <w:p>
      <w:pPr>
        <w:widowControl w:val="0"/>
        <w:numPr>
          <w:ilvl w:val="0"/>
          <w:numId w:val="0"/>
        </w:numPr>
        <w:spacing w:line="360" w:lineRule="auto"/>
        <w:ind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指引适用于广州市行政区划内所有陆域环卫作业单位，适用于广州市行政区划陆域范围内的环卫精细化作业和管理，包括车行道、人行道、车行隧道、人行隧道、高架路、人行天桥、商业步行街、内街内巷、城中村道路、公共广场公共、绿地、绿化带的清扫保洁和交通护栏清洗，环卫公厕、垃圾压缩站、环卫停车场、临时收运点、环卫工具房、垃圾收集容器等环卫设施运行管理以及生活垃圾、餐厨垃圾、粪污、动物尸骸等垃圾分类收运等环卫工作。</w:t>
      </w:r>
    </w:p>
    <w:p>
      <w:pPr>
        <w:widowControl w:val="0"/>
        <w:numPr>
          <w:ilvl w:val="0"/>
          <w:numId w:val="0"/>
        </w:numPr>
        <w:spacing w:line="360" w:lineRule="auto"/>
        <w:ind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指引中有关特级、一、二、三、四级道路划定方法参考《广州市环境卫生作业规范》（试行），城中村、农村的道路保洁参照四级道路精细化作业标准实施。下一步结合市交通部门的《广州市道路明细清单》（2020），出台具体的各级道路清单。</w:t>
      </w:r>
    </w:p>
    <w:p>
      <w:pPr>
        <w:widowControl w:val="0"/>
        <w:numPr>
          <w:ilvl w:val="0"/>
          <w:numId w:val="0"/>
        </w:numPr>
        <w:spacing w:line="360" w:lineRule="auto"/>
        <w:ind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本指引中所涉作业规范和操作规程具体由《广州市环境卫生作业规范》（试行）规定。</w:t>
      </w:r>
    </w:p>
    <w:p>
      <w:pPr>
        <w:widowControl w:val="0"/>
        <w:numPr>
          <w:ilvl w:val="0"/>
          <w:numId w:val="0"/>
        </w:numPr>
        <w:spacing w:line="360" w:lineRule="auto"/>
        <w:ind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本指引中压缩站作业和管理相关条文:</w:t>
      </w:r>
    </w:p>
    <w:p>
      <w:pPr>
        <w:widowControl w:val="0"/>
        <w:numPr>
          <w:ilvl w:val="0"/>
          <w:numId w:val="0"/>
        </w:numPr>
        <w:spacing w:line="360" w:lineRule="auto"/>
        <w:ind w:leftChars="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lang w:val="en-US" w:eastAsia="zh-CN"/>
        </w:rPr>
        <w:t xml:space="preserve">第四章 </w:t>
      </w:r>
      <w:r>
        <w:rPr>
          <w:rFonts w:hint="eastAsia" w:ascii="仿宋" w:hAnsi="仿宋" w:eastAsia="仿宋" w:cs="仿宋"/>
          <w:b/>
          <w:bCs/>
          <w:color w:val="auto"/>
          <w:sz w:val="24"/>
          <w:szCs w:val="24"/>
        </w:rPr>
        <w:t>环卫设施精细化作业和管理</w:t>
      </w:r>
    </w:p>
    <w:p>
      <w:pPr>
        <w:widowControl w:val="0"/>
        <w:numPr>
          <w:ilvl w:val="0"/>
          <w:numId w:val="0"/>
        </w:numPr>
        <w:spacing w:line="360" w:lineRule="auto"/>
        <w:ind w:leftChars="0"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4.3环卫设施精细化作业和管理</w:t>
      </w:r>
    </w:p>
    <w:p>
      <w:pPr>
        <w:widowControl w:val="0"/>
        <w:numPr>
          <w:ilvl w:val="0"/>
          <w:numId w:val="0"/>
        </w:numPr>
        <w:spacing w:line="360" w:lineRule="auto"/>
        <w:ind w:leftChars="0" w:firstLine="720" w:firstLineChars="300"/>
        <w:jc w:val="both"/>
        <w:rPr>
          <w:rFonts w:hint="eastAsia" w:ascii="仿宋" w:hAnsi="仿宋" w:eastAsia="仿宋" w:cs="仿宋"/>
          <w:color w:val="auto"/>
          <w:sz w:val="24"/>
          <w:szCs w:val="24"/>
        </w:rPr>
      </w:pPr>
      <w:r>
        <w:rPr>
          <w:rFonts w:hint="eastAsia" w:ascii="仿宋" w:hAnsi="仿宋" w:eastAsia="仿宋" w:cs="仿宋"/>
          <w:color w:val="auto"/>
          <w:sz w:val="24"/>
          <w:szCs w:val="24"/>
        </w:rPr>
        <w:t>4.3.1环卫设施精细化作业内容和要求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widowControl w:val="0"/>
              <w:numPr>
                <w:ilvl w:val="0"/>
                <w:numId w:val="0"/>
              </w:num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环卫设施名称</w:t>
            </w:r>
          </w:p>
        </w:tc>
        <w:tc>
          <w:tcPr>
            <w:tcW w:w="6753" w:type="dxa"/>
          </w:tcPr>
          <w:p>
            <w:pPr>
              <w:widowControl w:val="0"/>
              <w:numPr>
                <w:ilvl w:val="0"/>
                <w:numId w:val="0"/>
              </w:num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精细化作业内容和要求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vAlign w:val="center"/>
          </w:tcPr>
          <w:p>
            <w:pPr>
              <w:widowControl w:val="0"/>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压缩站</w:t>
            </w:r>
          </w:p>
          <w:p>
            <w:pPr>
              <w:widowControl w:val="0"/>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（转运站）</w:t>
            </w:r>
          </w:p>
        </w:tc>
        <w:tc>
          <w:tcPr>
            <w:tcW w:w="6753" w:type="dxa"/>
          </w:tcPr>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1.开工前，严格按照操作规范要求对设备的安全性和可靠性进行全面检查，每班1次；</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2.在装填垃圾作业时，严格检查垃圾成分，严禁将危险废物、违禁废物和大件垃圾倒进料斗，严禁压缩非城市生活垃圾；</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3.垃圾卸载完毕后，垃圾收集车辆在驶离压缩站前，用高压水枪将车身和其所携载的垃圾桶进冲洗干净后方可离站；</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4.垃圾装填完毕后，垃圾运输车辆驶离压缩站前须将污水箱内污水排放干净，关闭排污阀，密闭箱体，用高压水枪将车身冲洗干净后方可离站，并在车辆驶离压缩站后及时清扫地面散落垃圾；</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5.每班次作业完毕，对压缩站内外进行全面清扫，对压缩设备箱内的垃圾进行全面清理，用高压水枪对站内外地面、垃圾压缩箱、料斗、翻桶架等设备进行全面冲洗，并对上述部位进行全面喷洒消毒，每班1次；</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6.定期组织开展站内外“四害”消杀工作，确保站内无蚊、蝇、蟑螂、老鼠，每周2次；</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7.定期对空气净化设备和污水沉淀池进行检查清理，并做好消毒杀菌工作，每周1次；</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8.定期对站内给水、排污、照明、电气、压缩等设施设备进行全面检查、维护和保养，在活动部位加注润滑油，确保设备正常、安全运行，每周1次；</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lang w:val="en-US" w:eastAsia="zh-CN" w:bidi="ar"/>
              </w:rPr>
              <w:t>9.定期开展站内整修工作，全面清除墙面污迹、乱张贴、天花蜘蛛网以及设备外表的锈蚀，并对锈蚀部位刷漆，每月不少于1次；</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lang w:val="en-US" w:eastAsia="zh-CN" w:bidi="ar"/>
              </w:rPr>
              <w:t>10.定期组织对噪音、臭气、污水达标排放检测，每年2次。压缩站作业时间：7:00～12:00，14:00～21:00，可根据实际需要在不影响市民的前提下适当延长作业时间。</w:t>
            </w:r>
          </w:p>
        </w:tc>
      </w:tr>
    </w:tbl>
    <w:p>
      <w:pPr>
        <w:widowControl w:val="0"/>
        <w:numPr>
          <w:ilvl w:val="0"/>
          <w:numId w:val="0"/>
        </w:num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在上表各作业事项中，除已标明作业时间的事项外，其他事项作业时间为：9：00～12:00、14:00～17:00。</w:t>
      </w:r>
    </w:p>
    <w:p>
      <w:pPr>
        <w:widowControl w:val="0"/>
        <w:numPr>
          <w:ilvl w:val="0"/>
          <w:numId w:val="0"/>
        </w:num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4.3.2环卫设施精细化作业和管理规定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widowControl w:val="0"/>
              <w:numPr>
                <w:ilvl w:val="0"/>
                <w:numId w:val="0"/>
              </w:num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环卫设施名称</w:t>
            </w:r>
          </w:p>
        </w:tc>
        <w:tc>
          <w:tcPr>
            <w:tcW w:w="6753" w:type="dxa"/>
          </w:tcPr>
          <w:p>
            <w:pPr>
              <w:widowControl w:val="0"/>
              <w:numPr>
                <w:ilvl w:val="0"/>
                <w:numId w:val="0"/>
              </w:num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精细化作业内容和要求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vAlign w:val="center"/>
          </w:tcPr>
          <w:p>
            <w:pPr>
              <w:widowControl w:val="0"/>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压缩站</w:t>
            </w:r>
          </w:p>
          <w:p>
            <w:pPr>
              <w:widowControl w:val="0"/>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（转运站）</w:t>
            </w:r>
          </w:p>
        </w:tc>
        <w:tc>
          <w:tcPr>
            <w:tcW w:w="6753" w:type="dxa"/>
          </w:tcPr>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1.每座压缩站应配备1名管理人员，并按每箱设置1名操作人员的原则，配备相应数量的操作人员；</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2.管理人员和操作人员必须经过严格培训，要求管理人员熟悉垃圾压缩站工艺流程、技术指标和运行管理要求，熟悉压缩站管理规章制度和岗位职责，熟练掌握站内设备操作规程，要求操作人员熟练掌握站内设备设施操作规程和工艺流程；</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3.应在垃圾压缩站作业区墙面醒目位置张贴压缩站操作规程、管理制度、安全制度；</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4.站区内应设置明显防火标志，站区内应配有消防栓和灭火器，消防栓水压正常，灭火器每半月检查维护1次，处于正常可用状态，严禁带火种车辆进入作业区，严禁在作业区内吸烟；</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5.严格遵守用电安全管理规定，严禁私拉电线和随意搭接临时电线，严禁私自改装、调试设备，严禁在站内给电动单车充电；</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6.严格按照操作规程进行车厢装卸、翻桶、压缩作业，在进行车厢装卸、翻桶作业时，须确定周边人员均在安全范围内方可进行操作，严防安全事故发生；</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7.作业过程中，需开启空气净化系统除臭降尘，确保站内外的空气清新，同时采取措施，降低作业噪音；</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8.发现故障无法排除时应及时通知专业维修人员前来维修，不得冒险操作；</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9.进站垃圾应做到日产日清，不得堆积过夜；</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10.站内作业工具、消毒用品应集中存放在工具房，规范有序摆放，妥善保管，禁止在站内堆积存放与压缩转运作业无关的物品，禁止在站内分拣垃圾，确保压缩站容貌和环境卫生整洁；</w:t>
            </w:r>
          </w:p>
          <w:p>
            <w:pPr>
              <w:keepNext w:val="0"/>
              <w:keepLines w:val="0"/>
              <w:widowControl/>
              <w:numPr>
                <w:ilvl w:val="0"/>
                <w:numId w:val="0"/>
              </w:numPr>
              <w:suppressLineNumbers w:val="0"/>
              <w:spacing w:line="360" w:lineRule="auto"/>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11.作业人员应佩戴口罩和防水手套、穿长筒胶鞋进行作业；</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lang w:val="en-US" w:eastAsia="zh-CN" w:bidi="ar"/>
              </w:rPr>
              <w:t>12.建立完整的管理台账，记录每天车辆进出、垃圾转运、病媒消杀、设施运行、设备维护、安全检查等情况。</w:t>
            </w:r>
          </w:p>
        </w:tc>
      </w:tr>
    </w:tbl>
    <w:p>
      <w:pPr>
        <w:widowControl w:val="0"/>
        <w:numPr>
          <w:ilvl w:val="0"/>
          <w:numId w:val="0"/>
        </w:num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4.3.3环卫设施精细化作业和管理质量标准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6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tcPr>
          <w:p>
            <w:pPr>
              <w:widowControl w:val="0"/>
              <w:numPr>
                <w:ilvl w:val="0"/>
                <w:numId w:val="0"/>
              </w:num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环卫设施名称</w:t>
            </w:r>
          </w:p>
        </w:tc>
        <w:tc>
          <w:tcPr>
            <w:tcW w:w="6753" w:type="dxa"/>
          </w:tcPr>
          <w:p>
            <w:pPr>
              <w:widowControl w:val="0"/>
              <w:numPr>
                <w:ilvl w:val="0"/>
                <w:numId w:val="0"/>
              </w:numPr>
              <w:spacing w:line="360" w:lineRule="auto"/>
              <w:jc w:val="center"/>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精细化作业内容和要求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9" w:type="dxa"/>
            <w:vAlign w:val="center"/>
          </w:tcPr>
          <w:p>
            <w:pPr>
              <w:widowControl w:val="0"/>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压缩站</w:t>
            </w:r>
          </w:p>
          <w:p>
            <w:pPr>
              <w:widowControl w:val="0"/>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（转运站）</w:t>
            </w:r>
          </w:p>
        </w:tc>
        <w:tc>
          <w:tcPr>
            <w:tcW w:w="6753" w:type="dxa"/>
          </w:tcPr>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1.环境卫生方面达到“十无十净”标准：</w:t>
            </w:r>
          </w:p>
          <w:p>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“十无”：无垃圾、无杂物、无污水、无污渍、无积尘、无异味、无蛛网、无四害、无蛆虫、无乱张贴拉挂；</w:t>
            </w:r>
          </w:p>
          <w:p>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“十净”：地面净、墙壁净、门窗净、灯具净、压缩设备净、通风净化设备净、操作台净、排污沟道净、管理间净、周边环境净。</w:t>
            </w:r>
          </w:p>
          <w:p>
            <w:pPr>
              <w:keepNext w:val="0"/>
              <w:keepLines w:val="0"/>
              <w:widowControl/>
              <w:numPr>
                <w:ilvl w:val="0"/>
                <w:numId w:val="0"/>
              </w:numPr>
              <w:suppressLineNumbers w:val="0"/>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2.管理方面满足“五无五全”要求：</w:t>
            </w:r>
          </w:p>
          <w:p>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“五无”：无锈蚀、无破损、无违章、无隐患、无人吸烟；</w:t>
            </w:r>
          </w:p>
          <w:p>
            <w:pPr>
              <w:keepNext w:val="0"/>
              <w:keepLines w:val="0"/>
              <w:widowControl/>
              <w:numPr>
                <w:ilvl w:val="0"/>
                <w:numId w:val="0"/>
              </w:numPr>
              <w:suppressLineNumbers w:val="0"/>
              <w:spacing w:line="360" w:lineRule="auto"/>
              <w:ind w:firstLine="480" w:firstLineChars="20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“五全”：规章制度健全、管理台账健全、安全措施健全、环保措施健全、消杀措施健全。</w:t>
            </w:r>
          </w:p>
        </w:tc>
      </w:tr>
    </w:tbl>
    <w:p>
      <w:pPr>
        <w:widowControl w:val="0"/>
        <w:numPr>
          <w:ilvl w:val="0"/>
          <w:numId w:val="100"/>
        </w:numPr>
        <w:spacing w:line="360" w:lineRule="auto"/>
        <w:ind w:firstLine="482" w:firstLineChars="200"/>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指引的有效期和修订规定</w:t>
      </w:r>
    </w:p>
    <w:p>
      <w:pPr>
        <w:widowControl w:val="0"/>
        <w:numPr>
          <w:ilvl w:val="0"/>
          <w:numId w:val="0"/>
        </w:num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本试行指引自发布之日起实施，有效期三年。</w:t>
      </w:r>
    </w:p>
    <w:p>
      <w:pPr>
        <w:spacing w:line="360" w:lineRule="auto"/>
        <w:ind w:firstLine="480" w:firstLineChars="20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在实施过程中确有必要修订的，由市城市管理和综合执法局组织修订，并在广泛征求各区城市管理和综合执法局以及相关环卫作业单位的意见后以市城管办名义印发实施。</w:t>
      </w:r>
    </w:p>
    <w:p>
      <w:pPr>
        <w:rPr>
          <w:color w:val="auto"/>
        </w:rPr>
      </w:pPr>
    </w:p>
    <w:p>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w:t>
      </w:r>
      <w:r>
        <w:rPr>
          <w:rFonts w:hint="eastAsia" w:cs="宋体"/>
          <w:b/>
          <w:bCs w:val="0"/>
          <w:color w:val="auto"/>
          <w:sz w:val="28"/>
          <w:szCs w:val="28"/>
          <w:lang w:val="en-US" w:eastAsia="zh-CN"/>
        </w:rPr>
        <w:t>9</w:t>
      </w:r>
      <w:r>
        <w:rPr>
          <w:rFonts w:hint="eastAsia" w:ascii="宋体" w:hAnsi="宋体" w:eastAsia="宋体" w:cs="宋体"/>
          <w:b/>
          <w:bCs w:val="0"/>
          <w:color w:val="auto"/>
          <w:sz w:val="28"/>
          <w:szCs w:val="28"/>
          <w:lang w:val="en-US" w:eastAsia="zh-CN"/>
        </w:rPr>
        <w:t>：《压缩站规范管理要求》</w:t>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auto"/>
          <w:sz w:val="24"/>
          <w:szCs w:val="24"/>
          <w:lang w:val="en-US" w:eastAsia="zh-CN"/>
        </w:rPr>
      </w:pPr>
    </w:p>
    <w:p>
      <w:pPr>
        <w:pStyle w:val="14"/>
        <w:keepNext w:val="0"/>
        <w:keepLines w:val="0"/>
        <w:pageBreakBefore w:val="0"/>
        <w:widowControl w:val="0"/>
        <w:numPr>
          <w:ilvl w:val="-1"/>
          <w:numId w:val="0"/>
        </w:numPr>
        <w:kinsoku/>
        <w:wordWrap/>
        <w:overflowPunct/>
        <w:topLinePunct w:val="0"/>
        <w:autoSpaceDE/>
        <w:autoSpaceDN/>
        <w:bidi w:val="0"/>
        <w:adjustRightInd/>
        <w:snapToGrid/>
        <w:spacing w:after="79" w:afterLines="25"/>
        <w:jc w:val="center"/>
        <w:textAlignment w:val="auto"/>
        <w:rPr>
          <w:rFonts w:hint="eastAsia" w:ascii="黑体" w:hAnsi="黑体" w:eastAsia="黑体" w:cs="黑体"/>
          <w:b/>
          <w:bCs/>
          <w:color w:val="auto"/>
          <w:spacing w:val="0"/>
          <w:kern w:val="2"/>
          <w:sz w:val="11"/>
          <w:szCs w:val="11"/>
          <w:lang w:val="en-US" w:eastAsia="zh-CN" w:bidi="ar-SA"/>
        </w:rPr>
      </w:pPr>
      <w:r>
        <w:rPr>
          <w:rFonts w:hint="eastAsia" w:ascii="黑体" w:hAnsi="黑体" w:eastAsia="黑体" w:cs="黑体"/>
          <w:b/>
          <w:bCs/>
          <w:color w:val="auto"/>
          <w:spacing w:val="0"/>
          <w:kern w:val="2"/>
          <w:sz w:val="28"/>
          <w:szCs w:val="28"/>
          <w:lang w:val="en-US" w:eastAsia="zh-CN" w:bidi="ar-SA"/>
        </w:rPr>
        <w:t>压缩站规范管理要求</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pStyle w:val="14"/>
              <w:spacing w:line="360" w:lineRule="auto"/>
              <w:jc w:val="center"/>
              <w:rPr>
                <w:rFonts w:hint="eastAsia"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管理项目</w:t>
            </w:r>
          </w:p>
        </w:tc>
        <w:tc>
          <w:tcPr>
            <w:tcW w:w="7130" w:type="dxa"/>
            <w:vAlign w:val="center"/>
          </w:tcPr>
          <w:p>
            <w:pPr>
              <w:pStyle w:val="14"/>
              <w:spacing w:line="360" w:lineRule="auto"/>
              <w:jc w:val="center"/>
              <w:rPr>
                <w:rFonts w:hint="default"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压缩站日常管理内容和要求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压缩站环境治理</w:t>
            </w:r>
          </w:p>
        </w:tc>
        <w:tc>
          <w:tcPr>
            <w:tcW w:w="7130" w:type="dxa"/>
            <w:vAlign w:val="center"/>
          </w:tcPr>
          <w:p>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压缩站显眼处应设有标识牌，内容标准：压缩站名称、管理单位、责任人、联系电话、投诉电话；尺寸大小为：80cm*60cm；</w:t>
            </w:r>
          </w:p>
          <w:p>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保持站内外卫生清扫保洁工作，无垃圾撒落和污水遍地问题，保持站内外环境卫生干净整洁；</w:t>
            </w:r>
          </w:p>
          <w:p>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压缩站内地面应保持平整，无明显的龟裂现象；</w:t>
            </w:r>
          </w:p>
          <w:p>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墙面无污迹、门窗无破损、天花无蜘蛛网，墙面无乱张贴、乱拉挂现象；</w:t>
            </w:r>
          </w:p>
          <w:p>
            <w:pPr>
              <w:numPr>
                <w:ilvl w:val="0"/>
                <w:numId w:val="0"/>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积极做好设备保养，应保持整洁，无锈迹、污垢、积尘；</w:t>
            </w:r>
          </w:p>
          <w:p>
            <w:pPr>
              <w:numPr>
                <w:ilvl w:val="0"/>
                <w:numId w:val="0"/>
              </w:numPr>
              <w:spacing w:line="360" w:lineRule="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警告、警示标识、操作指示标识应完好齐全。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作业秩序（操作人员作业规范）</w:t>
            </w:r>
          </w:p>
        </w:tc>
        <w:tc>
          <w:tcPr>
            <w:tcW w:w="7130" w:type="dxa"/>
            <w:vAlign w:val="center"/>
          </w:tcPr>
          <w:p>
            <w:pPr>
              <w:numPr>
                <w:ilvl w:val="0"/>
                <w:numId w:val="101"/>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进入压缩站车辆，车容车貌要整洁，按规定及时清洗消毒，塑料垃圾桶清洗干净方可离站；</w:t>
            </w:r>
          </w:p>
          <w:p>
            <w:pPr>
              <w:numPr>
                <w:ilvl w:val="0"/>
                <w:numId w:val="101"/>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按照《生活垃圾压缩站操作规程》，操作人员规范操作设备，对进站内的垃圾进行装填和压缩作业；</w:t>
            </w:r>
          </w:p>
          <w:p>
            <w:pPr>
              <w:numPr>
                <w:ilvl w:val="0"/>
                <w:numId w:val="101"/>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作业人员应分类收集、运输生活垃圾；</w:t>
            </w:r>
          </w:p>
          <w:p>
            <w:pPr>
              <w:numPr>
                <w:ilvl w:val="0"/>
                <w:numId w:val="101"/>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大件垃圾应破碎后才能压缩；</w:t>
            </w:r>
          </w:p>
          <w:p>
            <w:pPr>
              <w:numPr>
                <w:ilvl w:val="0"/>
                <w:numId w:val="101"/>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不能压缩非城市生活垃圾、有害垃圾；</w:t>
            </w:r>
          </w:p>
          <w:p>
            <w:pPr>
              <w:numPr>
                <w:ilvl w:val="0"/>
                <w:numId w:val="101"/>
              </w:numPr>
              <w:spacing w:line="360" w:lineRule="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垃圾收集车辆应服从指挥，应排队进站，有秩序等候；</w:t>
            </w:r>
          </w:p>
          <w:p>
            <w:pPr>
              <w:numPr>
                <w:ilvl w:val="0"/>
                <w:numId w:val="101"/>
              </w:numPr>
              <w:spacing w:line="360" w:lineRule="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文明作业，装卸垃圾桶应轻拿轻放，不能在站内喧哗、吵闹。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防“跑、冒、滴、漏”功能性检查</w:t>
            </w:r>
          </w:p>
        </w:tc>
        <w:tc>
          <w:tcPr>
            <w:tcW w:w="7130" w:type="dxa"/>
            <w:vAlign w:val="center"/>
          </w:tcPr>
          <w:p>
            <w:pPr>
              <w:numPr>
                <w:ilvl w:val="0"/>
                <w:numId w:val="10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工作现场应设有冲洗设备，应具备相应清洗功能；</w:t>
            </w:r>
          </w:p>
          <w:p>
            <w:pPr>
              <w:numPr>
                <w:ilvl w:val="0"/>
                <w:numId w:val="10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压缩机防尘罩应保持完好，功能正常；</w:t>
            </w:r>
          </w:p>
          <w:p>
            <w:pPr>
              <w:numPr>
                <w:ilvl w:val="0"/>
                <w:numId w:val="102"/>
              </w:num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压缩机排水装置应无明显损坏，功能正常；</w:t>
            </w:r>
          </w:p>
          <w:p>
            <w:pPr>
              <w:numPr>
                <w:ilvl w:val="0"/>
                <w:numId w:val="102"/>
              </w:numPr>
              <w:spacing w:line="360" w:lineRule="auto"/>
              <w:rPr>
                <w:rFonts w:hint="eastAsia" w:ascii="仿宋" w:hAnsi="仿宋" w:eastAsia="仿宋" w:cs="仿宋"/>
                <w:b/>
                <w:bCs/>
                <w:color w:val="auto"/>
                <w:sz w:val="24"/>
                <w:szCs w:val="24"/>
                <w:lang w:val="en-US" w:eastAsia="zh-CN"/>
              </w:rPr>
            </w:pPr>
            <w:r>
              <w:rPr>
                <w:rFonts w:hint="eastAsia" w:ascii="仿宋" w:hAnsi="仿宋" w:eastAsia="仿宋" w:cs="仿宋"/>
                <w:color w:val="auto"/>
                <w:sz w:val="24"/>
                <w:szCs w:val="24"/>
              </w:rPr>
              <w:t>压缩站车厢压载垃圾前必须把排污口打开，尽量排尽压缩过程中产生的污水；</w:t>
            </w:r>
          </w:p>
          <w:p>
            <w:pPr>
              <w:numPr>
                <w:ilvl w:val="0"/>
                <w:numId w:val="102"/>
              </w:numPr>
              <w:spacing w:line="360" w:lineRule="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rPr>
              <w:t>压缩装填完成后，确保排污口全部关闭、阀门密闭无滴漏、厢体外无吊挂垃圾，车身整洁再上路。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专用功能运行状况</w:t>
            </w:r>
          </w:p>
        </w:tc>
        <w:tc>
          <w:tcPr>
            <w:tcW w:w="7130" w:type="dxa"/>
            <w:vAlign w:val="center"/>
          </w:tcPr>
          <w:p>
            <w:pPr>
              <w:numPr>
                <w:ilvl w:val="0"/>
                <w:numId w:val="103"/>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电控系统工作正常；</w:t>
            </w:r>
          </w:p>
          <w:p>
            <w:pPr>
              <w:numPr>
                <w:ilvl w:val="0"/>
                <w:numId w:val="103"/>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各锁定装置应运行正常（锁定装置包括：插板，挡板，抱钩或锁拉钩，底盘插销）；</w:t>
            </w:r>
          </w:p>
          <w:p>
            <w:pPr>
              <w:numPr>
                <w:ilvl w:val="0"/>
                <w:numId w:val="103"/>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举升装置应运行正常无损坏；</w:t>
            </w:r>
          </w:p>
          <w:p>
            <w:pPr>
              <w:numPr>
                <w:ilvl w:val="0"/>
                <w:numId w:val="103"/>
              </w:numPr>
              <w:spacing w:line="360" w:lineRule="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液压系统和机械部件应运行稳定无异响；</w:t>
            </w:r>
          </w:p>
          <w:p>
            <w:pPr>
              <w:numPr>
                <w:ilvl w:val="0"/>
                <w:numId w:val="103"/>
              </w:numPr>
              <w:spacing w:line="360" w:lineRule="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各关键部位的润滑系、液压系统应无漏油。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污水排放、工作环境质量</w:t>
            </w:r>
          </w:p>
        </w:tc>
        <w:tc>
          <w:tcPr>
            <w:tcW w:w="7130" w:type="dxa"/>
            <w:vAlign w:val="center"/>
          </w:tcPr>
          <w:p>
            <w:pPr>
              <w:numPr>
                <w:ilvl w:val="0"/>
                <w:numId w:val="104"/>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压缩站污水收集系统应保持完好；</w:t>
            </w:r>
          </w:p>
          <w:p>
            <w:pPr>
              <w:numPr>
                <w:ilvl w:val="0"/>
                <w:numId w:val="104"/>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排污渠道内无污泥沉积和杂物；</w:t>
            </w:r>
          </w:p>
          <w:p>
            <w:pPr>
              <w:numPr>
                <w:ilvl w:val="0"/>
                <w:numId w:val="104"/>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站内污水口无木板和其他物品盖住；</w:t>
            </w:r>
          </w:p>
          <w:p>
            <w:pPr>
              <w:numPr>
                <w:ilvl w:val="0"/>
                <w:numId w:val="104"/>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配置除臭设施并正常使用；</w:t>
            </w:r>
          </w:p>
          <w:p>
            <w:pPr>
              <w:numPr>
                <w:ilvl w:val="0"/>
                <w:numId w:val="104"/>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在站门口测量现场噪声，工作时噪声值≤70分贝；</w:t>
            </w:r>
          </w:p>
          <w:p>
            <w:pPr>
              <w:numPr>
                <w:ilvl w:val="0"/>
                <w:numId w:val="104"/>
              </w:num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定期组织站内消杀，确保站内无蚊、蝇、蟑螂、老鼠；</w:t>
            </w:r>
          </w:p>
          <w:p>
            <w:pPr>
              <w:numPr>
                <w:ilvl w:val="0"/>
                <w:numId w:val="104"/>
              </w:numPr>
              <w:spacing w:line="360" w:lineRule="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出站车辆（包括手推车、翻斗车、垃圾运输车）和垃圾桶均要在站内清洗。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安全生产</w:t>
            </w:r>
          </w:p>
        </w:tc>
        <w:tc>
          <w:tcPr>
            <w:tcW w:w="7130" w:type="dxa"/>
            <w:vAlign w:val="center"/>
          </w:tcPr>
          <w:p>
            <w:pPr>
              <w:numPr>
                <w:ilvl w:val="0"/>
                <w:numId w:val="105"/>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定期开展安全生产检查工作；</w:t>
            </w:r>
          </w:p>
          <w:p>
            <w:pPr>
              <w:numPr>
                <w:ilvl w:val="0"/>
                <w:numId w:val="105"/>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遵守机械设备安全操作规程，严禁非专业人员操作、使用相关设备；</w:t>
            </w:r>
          </w:p>
          <w:p>
            <w:pPr>
              <w:numPr>
                <w:ilvl w:val="0"/>
                <w:numId w:val="105"/>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遵守用电安全管理规定，严禁私拉电线和随意搭接临时电线；严禁私自改装、调试设备；严禁超负荷用电；</w:t>
            </w:r>
          </w:p>
          <w:p>
            <w:pPr>
              <w:numPr>
                <w:ilvl w:val="0"/>
                <w:numId w:val="105"/>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在进行垃圾压缩作业时任何人不得进入垃圾压缩机投料仓；在进行升降厢作业时候任何人及肢体不得进入车厢正下方；</w:t>
            </w:r>
          </w:p>
          <w:p>
            <w:pPr>
              <w:numPr>
                <w:ilvl w:val="0"/>
                <w:numId w:val="105"/>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装卸车厢前必须确认车厢机械锁销和管线快速连接装置置于正确位置；装卸过程中，应清理车厢周边人员，并检查四柱升举油缸挂钩位置和箱体上升下降的稳定性；翻料作业时必须确认垃圾桶挂钩牢固、其他人员在安全范围内方可操作翻桶作业，严防安全事故发生；大件垃圾应破碎后才能压缩；</w:t>
            </w:r>
          </w:p>
          <w:p>
            <w:pPr>
              <w:numPr>
                <w:ilvl w:val="0"/>
                <w:numId w:val="105"/>
              </w:numPr>
              <w:spacing w:line="360" w:lineRule="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严禁私自调高设备压力，避免损坏车厢设备；</w:t>
            </w:r>
          </w:p>
          <w:p>
            <w:pPr>
              <w:numPr>
                <w:ilvl w:val="0"/>
                <w:numId w:val="105"/>
              </w:num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站区内设置明显防火标志，按照国家标准配备消防器材，并保持完好。严禁带火种车辆进入作业区，严禁在作业区内吸烟；</w:t>
            </w:r>
          </w:p>
          <w:p>
            <w:pPr>
              <w:numPr>
                <w:ilvl w:val="0"/>
                <w:numId w:val="105"/>
              </w:numPr>
              <w:spacing w:line="360" w:lineRule="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发现设备故障应及时停机并报告。作业结束闭站，关闭设施设备电源，关闭门锁门闸，确保安全。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疫情防控工作</w:t>
            </w:r>
          </w:p>
        </w:tc>
        <w:tc>
          <w:tcPr>
            <w:tcW w:w="7130" w:type="dxa"/>
            <w:vAlign w:val="center"/>
          </w:tcPr>
          <w:p>
            <w:pPr>
              <w:keepNext w:val="0"/>
              <w:keepLines w:val="0"/>
              <w:widowControl/>
              <w:suppressLineNumbers w:val="0"/>
              <w:spacing w:line="360" w:lineRule="auto"/>
              <w:jc w:val="left"/>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管理和操作人员是否按要求佩戴口罩、手套等防护物品，是否落实消毒、消杀制度，配备喷雾器、消毒剂等防控物资。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pPr>
              <w:keepNext w:val="0"/>
              <w:keepLines w:val="0"/>
              <w:widowControl/>
              <w:suppressLineNumbers w:val="0"/>
              <w:spacing w:line="360" w:lineRule="auto"/>
              <w:jc w:val="center"/>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管理台账</w:t>
            </w:r>
          </w:p>
        </w:tc>
        <w:tc>
          <w:tcPr>
            <w:tcW w:w="7130" w:type="dxa"/>
            <w:vAlign w:val="center"/>
          </w:tcPr>
          <w:p>
            <w:pPr>
              <w:keepNext w:val="0"/>
              <w:keepLines w:val="0"/>
              <w:widowControl/>
              <w:suppressLineNumbers w:val="0"/>
              <w:spacing w:line="360" w:lineRule="auto"/>
              <w:jc w:val="left"/>
              <w:textAlignment w:val="center"/>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每日进站的车辆数量和出站厢数、生活垃圾日压缩转运量、防疫消毒记录、四害消杀记录、周自检记录、未接通市政污水管网压缩站污水转运记录。</w:t>
            </w:r>
          </w:p>
        </w:tc>
      </w:tr>
    </w:tbl>
    <w:p>
      <w:pPr>
        <w:rPr>
          <w:rFonts w:hint="default"/>
          <w:color w:val="auto"/>
          <w:lang w:val="en-US" w:eastAsia="zh-CN"/>
        </w:rPr>
      </w:pPr>
      <w:r>
        <w:rPr>
          <w:rFonts w:hint="default"/>
          <w:color w:val="auto"/>
          <w:lang w:val="en-US" w:eastAsia="zh-CN"/>
        </w:rPr>
        <w:br w:type="page"/>
      </w:r>
    </w:p>
    <w:p>
      <w:pPr>
        <w:pStyle w:val="13"/>
        <w:keepNext w:val="0"/>
        <w:keepLines w:val="0"/>
        <w:pageBreakBefore w:val="0"/>
        <w:widowControl w:val="0"/>
        <w:tabs>
          <w:tab w:val="left" w:pos="313"/>
        </w:tabs>
        <w:kinsoku/>
        <w:wordWrap/>
        <w:overflowPunct/>
        <w:topLinePunct w:val="0"/>
        <w:autoSpaceDE/>
        <w:autoSpaceDN/>
        <w:bidi w:val="0"/>
        <w:adjustRightInd/>
        <w:snapToGrid/>
        <w:spacing w:line="360" w:lineRule="auto"/>
        <w:textAlignment w:val="auto"/>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附件1</w:t>
      </w:r>
      <w:r>
        <w:rPr>
          <w:rFonts w:hint="eastAsia" w:cs="宋体"/>
          <w:b/>
          <w:bCs w:val="0"/>
          <w:color w:val="auto"/>
          <w:sz w:val="28"/>
          <w:szCs w:val="28"/>
          <w:lang w:val="en-US" w:eastAsia="zh-CN"/>
        </w:rPr>
        <w:t>0</w:t>
      </w:r>
      <w:r>
        <w:rPr>
          <w:rFonts w:hint="eastAsia" w:ascii="宋体" w:hAnsi="宋体" w:eastAsia="宋体" w:cs="宋体"/>
          <w:b/>
          <w:bCs w:val="0"/>
          <w:color w:val="auto"/>
          <w:sz w:val="28"/>
          <w:szCs w:val="28"/>
          <w:lang w:val="en-US" w:eastAsia="zh-CN"/>
        </w:rPr>
        <w:t>：《环卫专用车辆设备检测检查表》</w:t>
      </w:r>
    </w:p>
    <w:p>
      <w:pPr>
        <w:numPr>
          <w:ilvl w:val="0"/>
          <w:numId w:val="0"/>
        </w:numPr>
        <w:spacing w:line="360" w:lineRule="auto"/>
        <w:jc w:val="center"/>
        <w:rPr>
          <w:rFonts w:hint="eastAsia" w:ascii="仿宋" w:hAnsi="仿宋" w:eastAsia="仿宋" w:cs="仿宋"/>
          <w:b/>
          <w:bCs/>
          <w:color w:val="auto"/>
          <w:sz w:val="24"/>
          <w:szCs w:val="24"/>
          <w:lang w:val="en-US" w:eastAsia="zh-CN"/>
        </w:rPr>
      </w:pPr>
    </w:p>
    <w:p>
      <w:pPr>
        <w:numPr>
          <w:ilvl w:val="0"/>
          <w:numId w:val="0"/>
        </w:numPr>
        <w:spacing w:line="360" w:lineRule="auto"/>
        <w:jc w:val="center"/>
        <w:rPr>
          <w:rFonts w:hint="eastAsia"/>
          <w:lang w:val="en-US" w:eastAsia="zh-CN"/>
        </w:rPr>
      </w:pPr>
      <w:r>
        <w:rPr>
          <w:rFonts w:hint="eastAsia" w:ascii="黑体" w:hAnsi="黑体" w:eastAsia="黑体" w:cs="黑体"/>
          <w:b/>
          <w:bCs/>
          <w:color w:val="auto"/>
          <w:sz w:val="28"/>
          <w:szCs w:val="28"/>
          <w:lang w:val="en-US" w:eastAsia="zh-CN"/>
        </w:rPr>
        <w:t>《环卫专用车辆设备检测项目检查表》</w:t>
      </w:r>
    </w:p>
    <w:p>
      <w:pPr>
        <w:numPr>
          <w:ilvl w:val="0"/>
          <w:numId w:val="106"/>
        </w:numPr>
        <w:spacing w:line="360" w:lineRule="auto"/>
        <w:ind w:left="210" w:leftChars="0" w:firstLineChars="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rPr>
        <w:t>环卫作业车辆和设备</w:t>
      </w:r>
      <w:r>
        <w:rPr>
          <w:rFonts w:hint="eastAsia" w:ascii="黑体" w:hAnsi="黑体" w:eastAsia="黑体" w:cs="黑体"/>
          <w:b/>
          <w:bCs/>
          <w:color w:val="auto"/>
          <w:sz w:val="28"/>
          <w:szCs w:val="28"/>
          <w:lang w:eastAsia="zh-CN"/>
        </w:rPr>
        <w:t>定期检查</w:t>
      </w:r>
    </w:p>
    <w:tbl>
      <w:tblPr>
        <w:tblStyle w:val="9"/>
        <w:tblW w:w="51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507"/>
        <w:gridCol w:w="6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1" w:type="pct"/>
            <w:tcBorders>
              <w:tl2br w:val="nil"/>
              <w:tr2bl w:val="nil"/>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检查内容</w:t>
            </w:r>
          </w:p>
        </w:tc>
        <w:tc>
          <w:tcPr>
            <w:tcW w:w="858" w:type="pct"/>
            <w:tcBorders>
              <w:tl2br w:val="nil"/>
              <w:tr2bl w:val="nil"/>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检查项目</w:t>
            </w:r>
          </w:p>
        </w:tc>
        <w:tc>
          <w:tcPr>
            <w:tcW w:w="3680" w:type="pct"/>
            <w:tcBorders>
              <w:tl2br w:val="nil"/>
              <w:tr2bl w:val="nil"/>
            </w:tcBorders>
            <w:shd w:val="clear" w:color="auto" w:fill="auto"/>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清扫车辆</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车容车貌</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1.外观、涂装应符合广州市城市管理专用作业车辆的规定；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2.外表各部件齐全无缺失，车牌清晰，整体外观应无明显变形，无破损，无私自改装、外挂等情况；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3.车辆内外应清洗干净，无污渍，无明显异味。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1.照明和信号装置应完好功能正常；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2.车辆的警告、警示标识、操作指示标识应完好齐全；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3.侧面防护、后下部防护应符合相关规定；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4.连接件、紧固件应连接可靠，无松脱；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5.气路、水路和电路应排列整齐、夹持牢固，没有与运动件发生摩擦或干涉等现象；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6.盘形或辊形扫刷及吸嘴设置升降装置且升降灵活。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密闭性能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垃圾箱完好，无漏污水、漏垃圾的现象。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液压系统</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液压系统组件应完好，无有渗油、漏油现象。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专用功能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纯吸式和吸扫式扫路车的风机或其他抽气装置应能在额定转速下持续运转，无异常振动和杂音；垃圾箱举升、下降平稳，无卡滞、抖动、撞击现象。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461"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洒水车辆</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车容车貌</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1.外观、涂装应符合广州市城市管理专用作业车辆的规定；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2.外表各部件齐全无缺失，车牌清晰，整体外观应无明显变形，无破损，无私自改装、外挂等情况；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3.车辆内外应清洗干净，无污渍，无明显异味。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1.照明和信号装置应完好功能正常；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2.车辆的警告、警示标识、操作指示标识应完好齐全；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3.侧面防护、后下部防护应符合相关规定；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4.连接件、紧固件应连接可靠，无松脱；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5.气路、水路和电路应排列整齐、夹持牢固，没有与运动件发生摩擦或干涉等现象。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lang w:val="en-US" w:eastAsia="zh-CN"/>
              </w:rPr>
            </w:pPr>
            <w:r>
              <w:rPr>
                <w:rFonts w:hint="eastAsia" w:ascii="仿宋" w:hAnsi="仿宋" w:eastAsia="仿宋" w:cs="仿宋"/>
                <w:i w:val="0"/>
                <w:iCs w:val="0"/>
                <w:color w:val="auto"/>
                <w:sz w:val="24"/>
                <w:szCs w:val="24"/>
                <w:u w:val="none"/>
                <w:lang w:eastAsia="zh-CN"/>
              </w:rPr>
              <w:t>密闭</w:t>
            </w:r>
            <w:r>
              <w:rPr>
                <w:rFonts w:hint="eastAsia" w:ascii="仿宋" w:hAnsi="仿宋" w:eastAsia="仿宋" w:cs="仿宋"/>
                <w:i w:val="0"/>
                <w:iCs w:val="0"/>
                <w:color w:val="auto"/>
                <w:sz w:val="24"/>
                <w:szCs w:val="24"/>
                <w:u w:val="none"/>
                <w:lang w:val="en-US" w:eastAsia="zh-CN"/>
              </w:rPr>
              <w:t>性能</w:t>
            </w:r>
          </w:p>
        </w:tc>
        <w:tc>
          <w:tcPr>
            <w:tcW w:w="3680" w:type="pct"/>
            <w:tcBorders>
              <w:tl2br w:val="nil"/>
              <w:tr2bl w:val="nil"/>
            </w:tcBorders>
            <w:noWrap w:val="0"/>
            <w:vAlign w:val="center"/>
          </w:tcPr>
          <w:p>
            <w:pPr>
              <w:keepNext w:val="0"/>
              <w:keepLines w:val="0"/>
              <w:widowControl/>
              <w:numPr>
                <w:ilvl w:val="0"/>
                <w:numId w:val="0"/>
              </w:numPr>
              <w:suppressLineNumbers w:val="0"/>
              <w:tabs>
                <w:tab w:val="left" w:pos="312"/>
              </w:tabs>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水罐有溢流管和水位显示装置，组件应完好；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2.水罐应无渗漏现象。</w:t>
            </w:r>
          </w:p>
          <w:p>
            <w:pPr>
              <w:keepNext w:val="0"/>
              <w:keepLines w:val="0"/>
              <w:widowControl/>
              <w:numPr>
                <w:ilvl w:val="0"/>
                <w:numId w:val="0"/>
              </w:numPr>
              <w:suppressLineNumbers w:val="0"/>
              <w:tabs>
                <w:tab w:val="left" w:pos="312"/>
              </w:tabs>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3.管道、阀门部件完好，安装牢固，密封良好，无渗漏。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专用功能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1.水泵能满负荷运转，无异响；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2.喷嘴保持水流畅通，喷洒均匀。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罐式（容器）收运车辆</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车容车貌</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1.外观、涂装应符合广州市城市管理专用作业车辆的规定；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2.外表各部件齐全无缺失，车牌清晰，整体外观应无明显变形，无破损，无私自改装、外挂等情况；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3.车辆内外应清洗干净，无污渍，无明显异味。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1.照明和信号装置应完好功能正常；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2.车辆的警告、警示标识、操作指示标识应完好齐全；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3.侧面防护、后下部防护应符合规定；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4.连接件、紧固件连接可靠，无松脱；</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5.气路、水路和电路应排列整齐、夹持牢固，没有与运动件发生摩擦或干涉等现象。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密闭性能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1.罐体表面应平整，无明显凹凸不平现象；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2.罐体各盖板密封严实，无漏气、漏水和泄漏其他污物的现象；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3.罐体排液口组件完好功能正常。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专用功能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吸排系统吸排畅通，抽气真空装置满足吸排性能的要求，功能正常无异响。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压缩式运输车</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车容车貌</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1.外观、涂装应符合广州市城市管理专用作业车辆的规定；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2.外表各部件齐全无缺失，车牌清晰，整体外观应无明显变形，无破损，无私自改装、外挂等情况；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3.车辆内外应清洗干净，无污渍，无明显异味，各处污水槽、污水箱无积存垃圾、杂物及污水，无垃圾外露、外挂。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1.工作辅助照明灯光好功能正常；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2.车辆的警告、警示标识、操作指示标识完好齐全；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3.车辆厢体锁定机构、料斗锁定机构功能正常；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4.各关键部位的润滑系工作正常。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密闭性能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1.车厢厢体应无滴漏现象；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2.车厢前、中、后部排污口组件完好，各类密封件完好功能正常；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3.车厢底部污水箱无明显变形损坏，排污口组件、密封件完好功能正常；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4.车厢引水装置完好功能正常；</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5.料斗体应无滴漏现象；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6.接污水槽应无明显变形、损坏，功能正常；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7.料斗污水箱应无明显变形、损坏，排污口组件、密封件应完好功能正常；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8.料斗与车厢结合面及密封胶条应无明显变形、损坏，密封功能正常；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9.料斗后盖应无明显变形损坏，功能正常；</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10.橡胶密封件无硬化、老化现象。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专用功能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1.控制系统工作正常（电控、气控、液压控制）；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2.料斗开合到位功能正常；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3.推板运行到位功能正常；滑板、挖板开合到位功能正常；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4.提升架运行平稳，提升到位，功能正常；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5.料斗后盖开合到位功能正常。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1" w:type="pct"/>
            <w:vMerge w:val="restart"/>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厢式垃圾运输车</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车容车貌</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1.外观、涂装应符合广州市城市管理专用作业车辆的规定；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2.外表各部件齐全无缺失，车牌清晰，整体外观应无明显变形，无破损，无私自改装、外挂等情况；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3.车辆内外清洗干净无明显异味，污水槽、污水箱无积存垃圾、杂物及污水，无垃圾外露、外挂。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1.工作辅助照明灯光应完好功能正常；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2.车辆的警告、警示标识、操作指示标识完好齐全；</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3.车辆厢体锁定机构、尾门、尾斗锁定机构功能正常可靠；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4.各关键部位的润滑系工作正常。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4"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4"/>
                <w:szCs w:val="24"/>
                <w:u w:val="none"/>
                <w:lang w:val="en-US" w:eastAsia="zh-CN" w:bidi="ar-SA"/>
              </w:rPr>
            </w:pPr>
            <w:r>
              <w:rPr>
                <w:rFonts w:hint="eastAsia" w:ascii="仿宋" w:hAnsi="仿宋" w:eastAsia="仿宋" w:cs="仿宋"/>
                <w:i w:val="0"/>
                <w:iCs w:val="0"/>
                <w:color w:val="auto"/>
                <w:kern w:val="0"/>
                <w:sz w:val="24"/>
                <w:szCs w:val="24"/>
                <w:u w:val="none"/>
                <w:lang w:val="en-US" w:eastAsia="zh-CN" w:bidi="ar"/>
              </w:rPr>
              <w:t>密闭性能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1.车厢厢体应无任何滴漏现象；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2.车厢前、中、后部排污口组件完好，密封件好功能正常；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3.车厢引水装置完好功能正常；</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4.尾门、尾斗体无滴漏现象；</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5.排污口组件、密封件完好功能正常；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6.与车厢结合面及密封胶条应无明显变形、损坏，密封功能正常。；</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7.底盘尾部污水箱无明显变形损坏，排污口组件、密封件完好功能正常；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8.接污水槽应无明显变形、损坏，功能正常；</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9.橡胶密封件无硬化、老化现象。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461"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专用功能</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1.控制系统应工作正常（电控、气控、液压控制）；</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2.尾门、尾斗应开合到位功能正常；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3.推板应能运行到位功能正常。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61" w:type="pct"/>
            <w:vMerge w:val="restar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资料检查</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管理制度</w:t>
            </w:r>
          </w:p>
        </w:tc>
        <w:tc>
          <w:tcPr>
            <w:tcW w:w="3680" w:type="pct"/>
            <w:tcBorders>
              <w:tl2br w:val="nil"/>
              <w:tr2bl w:val="nil"/>
            </w:tcBorders>
            <w:noWrap w:val="0"/>
            <w:vAlign w:val="center"/>
          </w:tcPr>
          <w:p>
            <w:pPr>
              <w:keepNext w:val="0"/>
              <w:keepLines w:val="0"/>
              <w:widowControl/>
              <w:numPr>
                <w:ilvl w:val="0"/>
                <w:numId w:val="107"/>
              </w:numPr>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内部管理制度；</w:t>
            </w:r>
          </w:p>
          <w:p>
            <w:pPr>
              <w:keepNext w:val="0"/>
              <w:keepLines w:val="0"/>
              <w:widowControl/>
              <w:numPr>
                <w:ilvl w:val="0"/>
                <w:numId w:val="107"/>
              </w:numPr>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日常巡查制度；</w:t>
            </w:r>
          </w:p>
          <w:p>
            <w:pPr>
              <w:keepNext w:val="0"/>
              <w:keepLines w:val="0"/>
              <w:widowControl/>
              <w:numPr>
                <w:ilvl w:val="0"/>
                <w:numId w:val="107"/>
              </w:numPr>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作业控制流程；</w:t>
            </w:r>
          </w:p>
          <w:p>
            <w:pPr>
              <w:keepNext w:val="0"/>
              <w:keepLines w:val="0"/>
              <w:widowControl/>
              <w:numPr>
                <w:ilvl w:val="0"/>
                <w:numId w:val="107"/>
              </w:numPr>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定期检查计划。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61" w:type="pct"/>
            <w:vMerge w:val="continue"/>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台账记录</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1.车历档案；</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2.车辆驾驶员的录用、教育培训情况；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3.车辆派遣、维修保养、出车登记、车辆报废、安全行车和事故处理等各项管理制度的落实情况；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4.不同类型车辆的管理情况；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5.车辆运输滴漏整改情况；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6.车辆运输路线情况；</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7.车辆年度垃圾运输总量情况等。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461" w:type="pct"/>
            <w:vMerge w:val="continue"/>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安全生产</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安全工作和措施落实情况，包括但不限于安全生产培训、会议、日常检查、隐患排查整改、演练等台账以及安全措施落实情况等。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61" w:type="pct"/>
            <w:vMerge w:val="restar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sz w:val="24"/>
                <w:szCs w:val="24"/>
                <w:u w:val="none"/>
                <w:lang w:eastAsia="zh-CN"/>
              </w:rPr>
              <w:t>其他检查</w:t>
            </w: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系统应用</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对环卫专用作业车辆和设备的相关信息及其在“广州市智慧环卫信息系统”的登记情况进行检查。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61" w:type="pct"/>
            <w:vMerge w:val="continue"/>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4"/>
                <w:szCs w:val="24"/>
                <w:u w:val="none"/>
              </w:rPr>
            </w:pPr>
          </w:p>
        </w:tc>
        <w:tc>
          <w:tcPr>
            <w:tcW w:w="858"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问题整改</w:t>
            </w:r>
          </w:p>
        </w:tc>
        <w:tc>
          <w:tcPr>
            <w:tcW w:w="3680" w:type="pct"/>
            <w:tcBorders>
              <w:tl2br w:val="nil"/>
              <w:tr2bl w:val="nil"/>
            </w:tcBorders>
            <w:noWrap w:val="0"/>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对前期检查中通报车辆设备存在的问题整改落实情况进行检查。</w:t>
            </w:r>
          </w:p>
        </w:tc>
      </w:tr>
    </w:tbl>
    <w:p>
      <w:pPr>
        <w:numPr>
          <w:ilvl w:val="0"/>
          <w:numId w:val="0"/>
        </w:numPr>
        <w:spacing w:line="360" w:lineRule="auto"/>
        <w:ind w:leftChars="0"/>
        <w:jc w:val="center"/>
        <w:outlineLvl w:val="9"/>
        <w:rPr>
          <w:rFonts w:hint="eastAsia" w:ascii="黑体" w:hAnsi="黑体" w:eastAsia="黑体" w:cs="黑体"/>
          <w:b/>
          <w:bCs/>
          <w:color w:val="auto"/>
          <w:kern w:val="2"/>
          <w:sz w:val="28"/>
          <w:szCs w:val="28"/>
          <w:lang w:val="en-US" w:eastAsia="zh-CN" w:bidi="ar-SA"/>
        </w:rPr>
      </w:pPr>
    </w:p>
    <w:p>
      <w:pPr>
        <w:numPr>
          <w:ilvl w:val="0"/>
          <w:numId w:val="0"/>
        </w:numPr>
        <w:spacing w:line="360" w:lineRule="auto"/>
        <w:ind w:leftChars="0"/>
        <w:jc w:val="center"/>
        <w:outlineLvl w:val="9"/>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二、环卫作业车辆和设备动态抽查</w:t>
      </w:r>
    </w:p>
    <w:p>
      <w:pPr>
        <w:outlineLvl w:val="9"/>
        <w:rPr>
          <w:rFonts w:hint="eastAsia"/>
          <w:lang w:eastAsia="zh-CN"/>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325"/>
        <w:gridCol w:w="5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检查内容</w:t>
            </w:r>
          </w:p>
        </w:tc>
        <w:tc>
          <w:tcPr>
            <w:tcW w:w="777"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检查项目</w:t>
            </w:r>
          </w:p>
        </w:tc>
        <w:tc>
          <w:tcPr>
            <w:tcW w:w="3491" w:type="pct"/>
            <w:tcBorders>
              <w:tl2br w:val="nil"/>
              <w:tr2bl w:val="nil"/>
            </w:tcBorders>
            <w:noWrap w:val="0"/>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4"/>
                <w:szCs w:val="24"/>
                <w:u w:val="none"/>
                <w:lang w:val="en-US" w:eastAsia="zh-CN" w:bidi="ar-SA"/>
              </w:rPr>
            </w:pPr>
            <w:r>
              <w:rPr>
                <w:rFonts w:hint="eastAsia" w:ascii="仿宋" w:hAnsi="仿宋" w:eastAsia="仿宋" w:cs="仿宋"/>
                <w:b/>
                <w:bCs/>
                <w:i w:val="0"/>
                <w:iCs w:val="0"/>
                <w:color w:val="auto"/>
                <w:kern w:val="0"/>
                <w:sz w:val="24"/>
                <w:szCs w:val="24"/>
                <w:u w:val="none"/>
                <w:lang w:val="en-US" w:eastAsia="zh-CN" w:bidi="ar"/>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restar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设点检查</w:t>
            </w:r>
          </w:p>
        </w:tc>
        <w:tc>
          <w:tcPr>
            <w:tcW w:w="777" w:type="pc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车容车貌</w:t>
            </w:r>
          </w:p>
        </w:tc>
        <w:tc>
          <w:tcPr>
            <w:tcW w:w="3491" w:type="pct"/>
            <w:tcBorders>
              <w:tl2br w:val="nil"/>
              <w:tr2bl w:val="nil"/>
            </w:tcBorders>
            <w:noWrap w:val="0"/>
            <w:vAlign w:val="top"/>
          </w:tcPr>
          <w:p>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1.外观、涂装应符合广州市城市管理专用作业车辆的规定；</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2.外表各部件齐全无缺失，车牌清晰，整体外观应无明显变形，无破损，无私自改装、外挂等情况；</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3.车辆内外清洗干净，无污渍，无明显异味；</w:t>
            </w:r>
          </w:p>
          <w:p>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4.（垃圾运输车）污水槽、污水箱无积存垃圾、杂物及污水，无垃圾外露、外挂。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continue"/>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密闭性能</w:t>
            </w:r>
          </w:p>
        </w:tc>
        <w:tc>
          <w:tcPr>
            <w:tcW w:w="3491" w:type="pct"/>
            <w:tcBorders>
              <w:tl2br w:val="nil"/>
              <w:tr2bl w:val="nil"/>
            </w:tcBorders>
            <w:noWrap w:val="0"/>
            <w:vAlign w:val="top"/>
          </w:tcPr>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vertAlign w:val="baseline"/>
                <w:lang w:val="en-US" w:eastAsia="zh-CN"/>
              </w:rPr>
              <w:t>厢体、料斗、尾斗和污水箱等密闭正常，无破损、缺失。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731" w:type="pct"/>
            <w:vMerge w:val="continue"/>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安全性能</w:t>
            </w:r>
          </w:p>
        </w:tc>
        <w:tc>
          <w:tcPr>
            <w:tcW w:w="3491" w:type="pct"/>
            <w:tcBorders>
              <w:tl2br w:val="nil"/>
              <w:tr2bl w:val="nil"/>
            </w:tcBorders>
            <w:noWrap w:val="0"/>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1.照明和信号装置应完好功能正常；</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2.车辆的警告、警示标识、操作指示标识完好齐全；</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3.侧面防护、后下部防护符合相关规定；</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4.连接件、紧固件连接可靠，不得松脱；</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5.气路、水路和电路排列整齐、夹持牢固，没有与运动件发生摩擦或干涉等现象；</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6.各关键部位的润滑系保持工作正常；</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7.车辆厢体锁定机构、料（尾）斗锁定机构应功能正常可靠。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restar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随机抽查</w:t>
            </w:r>
          </w:p>
        </w:tc>
        <w:tc>
          <w:tcPr>
            <w:tcW w:w="777" w:type="pc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车容车貌</w:t>
            </w:r>
          </w:p>
        </w:tc>
        <w:tc>
          <w:tcPr>
            <w:tcW w:w="3491" w:type="pct"/>
            <w:tcBorders>
              <w:tl2br w:val="nil"/>
              <w:tr2bl w:val="nil"/>
            </w:tcBorders>
            <w:noWrap w:val="0"/>
            <w:vAlign w:val="top"/>
          </w:tcPr>
          <w:p>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1.外观、涂装应符合广州市城市管理专用作业车辆的规定；</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2.外表各部件齐全无缺失，车牌清晰，整体外观应无明显变形，无破损，无私自改装、外挂等情况；</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3.车辆内外应清洗干净，无污渍，无明显异味；</w:t>
            </w:r>
          </w:p>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lang w:val="en-US" w:eastAsia="zh-CN"/>
              </w:rPr>
              <w:t>4.（垃圾运输车）各处污水槽、污水箱无积存垃圾、杂物及污水，无垃圾外露、外挂。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continue"/>
            <w:tcBorders>
              <w:tl2br w:val="nil"/>
              <w:tr2bl w:val="nil"/>
            </w:tcBorders>
            <w:noWrap w:val="0"/>
            <w:vAlign w:val="top"/>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top"/>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密闭性能</w:t>
            </w:r>
          </w:p>
        </w:tc>
        <w:tc>
          <w:tcPr>
            <w:tcW w:w="3491" w:type="pct"/>
            <w:tcBorders>
              <w:tl2br w:val="nil"/>
              <w:tr2bl w:val="nil"/>
            </w:tcBorders>
            <w:noWrap w:val="0"/>
            <w:vAlign w:val="top"/>
          </w:tcPr>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vertAlign w:val="baseline"/>
                <w:lang w:val="en-US" w:eastAsia="zh-CN"/>
              </w:rPr>
              <w:t>厢体、料斗、尾斗和污水箱等密闭正常，无破损、缺失。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continue"/>
            <w:tcBorders>
              <w:tl2br w:val="nil"/>
              <w:tr2bl w:val="nil"/>
            </w:tcBorders>
            <w:noWrap w:val="0"/>
            <w:vAlign w:val="top"/>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作业规范</w:t>
            </w:r>
          </w:p>
        </w:tc>
        <w:tc>
          <w:tcPr>
            <w:tcW w:w="3491" w:type="pct"/>
            <w:tcBorders>
              <w:tl2br w:val="nil"/>
              <w:tr2bl w:val="nil"/>
            </w:tcBorders>
            <w:noWrap w:val="0"/>
            <w:vAlign w:val="top"/>
          </w:tcPr>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1．作业车辆在垃圾压缩装填完成后，应当清理接水槽，保证接水槽干净无积存垃圾，尽量排尽压缩过程中产生的污水，清理车辆尾部周边的吊挂垃圾，冲洗干净车身</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2．排污口阀门密闭无滴漏，厢体外无吊挂垃圾，车身整洁再上路</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3．禁止在运输过程中，沿途丢弃、遗撒生活垃圾</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4．车辆接污水槽</w:t>
            </w:r>
            <w:r>
              <w:rPr>
                <w:rFonts w:hint="eastAsia" w:ascii="仿宋" w:hAnsi="仿宋" w:eastAsia="仿宋" w:cs="仿宋"/>
                <w:color w:val="auto"/>
                <w:sz w:val="24"/>
                <w:szCs w:val="24"/>
                <w:lang w:eastAsia="zh-CN"/>
              </w:rPr>
              <w:t>排空并</w:t>
            </w:r>
            <w:r>
              <w:rPr>
                <w:rFonts w:hint="eastAsia" w:ascii="仿宋" w:hAnsi="仿宋" w:eastAsia="仿宋" w:cs="仿宋"/>
                <w:color w:val="auto"/>
                <w:sz w:val="24"/>
                <w:szCs w:val="24"/>
              </w:rPr>
              <w:t>保持关闭</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5．禁止在运输过程中</w:t>
            </w:r>
            <w:r>
              <w:rPr>
                <w:rFonts w:hint="eastAsia" w:ascii="仿宋" w:hAnsi="仿宋" w:eastAsia="仿宋" w:cs="仿宋"/>
                <w:color w:val="auto"/>
                <w:sz w:val="24"/>
                <w:szCs w:val="24"/>
                <w:lang w:eastAsia="zh-CN"/>
              </w:rPr>
              <w:t>无</w:t>
            </w:r>
            <w:r>
              <w:rPr>
                <w:rFonts w:hint="eastAsia" w:ascii="仿宋" w:hAnsi="仿宋" w:eastAsia="仿宋" w:cs="仿宋"/>
                <w:color w:val="auto"/>
                <w:sz w:val="24"/>
                <w:szCs w:val="24"/>
              </w:rPr>
              <w:t>滴漏污水、垃圾飘散</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6．倾倒完垃圾后，车辆应在场（厂）内指定区域清理尾斗和排放垃圾污水；收起尾斗和排完污水后，通过垃圾车专用清洗装置洗车后方可离场（厂）</w:t>
            </w:r>
            <w:r>
              <w:rPr>
                <w:rFonts w:hint="eastAsia" w:ascii="仿宋" w:hAnsi="仿宋" w:eastAsia="仿宋" w:cs="仿宋"/>
                <w:color w:val="auto"/>
                <w:sz w:val="24"/>
                <w:szCs w:val="24"/>
                <w:lang w:eastAsia="zh-CN"/>
              </w:rPr>
              <w:t>；</w:t>
            </w:r>
          </w:p>
          <w:p>
            <w:pPr>
              <w:numPr>
                <w:ilvl w:val="0"/>
                <w:numId w:val="0"/>
              </w:num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7．遵守安全</w:t>
            </w:r>
            <w:r>
              <w:rPr>
                <w:rFonts w:hint="eastAsia" w:ascii="仿宋" w:hAnsi="仿宋" w:eastAsia="仿宋" w:cs="仿宋"/>
                <w:color w:val="auto"/>
                <w:sz w:val="24"/>
                <w:szCs w:val="24"/>
                <w:lang w:eastAsia="zh-CN"/>
              </w:rPr>
              <w:t>作业和行车相关规定；</w:t>
            </w:r>
          </w:p>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lang w:val="en-US" w:eastAsia="zh-CN"/>
              </w:rPr>
              <w:t>8.是否存在混收混运，符合“桶车一色”要求。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restar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路面巡查</w:t>
            </w:r>
          </w:p>
        </w:tc>
        <w:tc>
          <w:tcPr>
            <w:tcW w:w="777" w:type="pct"/>
            <w:tcBorders>
              <w:tl2br w:val="nil"/>
              <w:tr2bl w:val="nil"/>
            </w:tcBorders>
            <w:noWrap w:val="0"/>
            <w:vAlign w:val="center"/>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eastAsia="zh-CN"/>
              </w:rPr>
              <w:t>车容车貌</w:t>
            </w:r>
          </w:p>
        </w:tc>
        <w:tc>
          <w:tcPr>
            <w:tcW w:w="3491" w:type="pct"/>
            <w:tcBorders>
              <w:tl2br w:val="nil"/>
              <w:tr2bl w:val="nil"/>
            </w:tcBorders>
            <w:noWrap w:val="0"/>
            <w:vAlign w:val="top"/>
          </w:tcPr>
          <w:p>
            <w:pPr>
              <w:bidi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1.外观、涂装应符合广州市城市管理专用作业车辆的规定；</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2.外表各部件齐全无缺失，车牌清晰，整体外观应无明显变形，无破损，无私自改装、外挂等情况；</w:t>
            </w:r>
            <w:r>
              <w:rPr>
                <w:rFonts w:hint="eastAsia" w:ascii="仿宋" w:hAnsi="仿宋" w:eastAsia="仿宋" w:cs="仿宋"/>
                <w:color w:val="auto"/>
                <w:sz w:val="24"/>
                <w:szCs w:val="24"/>
                <w:lang w:val="en-US" w:eastAsia="zh-CN"/>
              </w:rPr>
              <w:br w:type="textWrapping"/>
            </w:r>
            <w:r>
              <w:rPr>
                <w:rFonts w:hint="eastAsia" w:ascii="仿宋" w:hAnsi="仿宋" w:eastAsia="仿宋" w:cs="仿宋"/>
                <w:color w:val="auto"/>
                <w:sz w:val="24"/>
                <w:szCs w:val="24"/>
                <w:lang w:val="en-US" w:eastAsia="zh-CN"/>
              </w:rPr>
              <w:t>3.车辆内外应清洗干净，无污渍，无明显异味；</w:t>
            </w:r>
          </w:p>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lang w:val="en-US" w:eastAsia="zh-CN"/>
              </w:rPr>
              <w:t>4.（垃圾运输车）各处污水槽、污水箱无积存垃圾、杂物及污水，无垃圾外露、外挂。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continue"/>
            <w:tcBorders>
              <w:tl2br w:val="nil"/>
              <w:tr2bl w:val="nil"/>
            </w:tcBorders>
            <w:noWrap w:val="0"/>
            <w:vAlign w:val="top"/>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center"/>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eastAsia="zh-CN"/>
              </w:rPr>
              <w:t>密闭性能</w:t>
            </w:r>
          </w:p>
        </w:tc>
        <w:tc>
          <w:tcPr>
            <w:tcW w:w="3491" w:type="pct"/>
            <w:tcBorders>
              <w:tl2br w:val="nil"/>
              <w:tr2bl w:val="nil"/>
            </w:tcBorders>
            <w:noWrap w:val="0"/>
            <w:vAlign w:val="top"/>
          </w:tcPr>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highlight w:val="none"/>
                <w:vertAlign w:val="baseline"/>
                <w:lang w:val="en-US" w:eastAsia="zh-CN"/>
              </w:rPr>
              <w:t>厢体、料斗、尾斗和污水箱等密闭正常，无明显破损、缺失。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continue"/>
            <w:tcBorders>
              <w:tl2br w:val="nil"/>
              <w:tr2bl w:val="nil"/>
            </w:tcBorders>
            <w:noWrap w:val="0"/>
            <w:vAlign w:val="top"/>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center"/>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eastAsia="zh-CN"/>
              </w:rPr>
              <w:t>作业规范</w:t>
            </w:r>
          </w:p>
        </w:tc>
        <w:tc>
          <w:tcPr>
            <w:tcW w:w="3491" w:type="pct"/>
            <w:tcBorders>
              <w:tl2br w:val="nil"/>
              <w:tr2bl w:val="nil"/>
            </w:tcBorders>
            <w:noWrap w:val="0"/>
            <w:vAlign w:val="top"/>
          </w:tcPr>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1．作业车辆在垃圾压缩装填完成后，应当清理接水槽，保证接水槽干净无积存垃圾，尽量排尽压缩过程中产生的污水，清理车辆尾部周边的吊挂垃圾，冲洗干净车身</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2．确保排污口全部关闭、阀门密闭无滴漏，厢体外无吊挂垃圾，车身整洁再上路</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3．禁止在运输过程中，沿途丢弃、遗撒生活垃圾</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4．车辆接污水槽及污水排放口保持关闭</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5．禁止在运输过程中滴漏污水、垃圾飘散</w:t>
            </w:r>
            <w:r>
              <w:rPr>
                <w:rFonts w:hint="eastAsia" w:ascii="仿宋" w:hAnsi="仿宋" w:eastAsia="仿宋" w:cs="仿宋"/>
                <w:color w:val="auto"/>
                <w:sz w:val="24"/>
                <w:szCs w:val="24"/>
                <w:lang w:eastAsia="zh-CN"/>
              </w:rPr>
              <w:t>；</w:t>
            </w:r>
          </w:p>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6．倾倒完垃圾后，车辆应在场（厂）内指定区域清理尾斗和排放垃圾污水；收起尾斗和排完污水后，通过垃圾车专用清洗装置洗车后方可离场（厂）</w:t>
            </w:r>
            <w:r>
              <w:rPr>
                <w:rFonts w:hint="eastAsia" w:ascii="仿宋" w:hAnsi="仿宋" w:eastAsia="仿宋" w:cs="仿宋"/>
                <w:color w:val="auto"/>
                <w:sz w:val="24"/>
                <w:szCs w:val="24"/>
                <w:lang w:eastAsia="zh-CN"/>
              </w:rPr>
              <w:t>；</w:t>
            </w:r>
          </w:p>
          <w:p>
            <w:pPr>
              <w:numPr>
                <w:ilvl w:val="0"/>
                <w:numId w:val="0"/>
              </w:numPr>
              <w:spacing w:line="360" w:lineRule="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rPr>
              <w:t>7．遵守安全</w:t>
            </w:r>
            <w:r>
              <w:rPr>
                <w:rFonts w:hint="eastAsia" w:ascii="仿宋" w:hAnsi="仿宋" w:eastAsia="仿宋" w:cs="仿宋"/>
                <w:color w:val="auto"/>
                <w:sz w:val="24"/>
                <w:szCs w:val="24"/>
                <w:lang w:eastAsia="zh-CN"/>
              </w:rPr>
              <w:t>作业相关规定</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pct"/>
            <w:vMerge w:val="continue"/>
            <w:tcBorders>
              <w:tl2br w:val="nil"/>
              <w:tr2bl w:val="nil"/>
            </w:tcBorders>
            <w:noWrap w:val="0"/>
            <w:vAlign w:val="top"/>
          </w:tcPr>
          <w:p>
            <w:pPr>
              <w:numPr>
                <w:ilvl w:val="0"/>
                <w:numId w:val="0"/>
              </w:numPr>
              <w:spacing w:line="360" w:lineRule="auto"/>
              <w:jc w:val="center"/>
              <w:rPr>
                <w:rFonts w:hint="eastAsia" w:ascii="仿宋" w:hAnsi="仿宋" w:eastAsia="仿宋" w:cs="仿宋"/>
                <w:color w:val="auto"/>
                <w:sz w:val="24"/>
                <w:szCs w:val="24"/>
                <w:vertAlign w:val="baseline"/>
                <w:lang w:eastAsia="zh-CN"/>
              </w:rPr>
            </w:pPr>
          </w:p>
        </w:tc>
        <w:tc>
          <w:tcPr>
            <w:tcW w:w="777" w:type="pct"/>
            <w:tcBorders>
              <w:tl2br w:val="nil"/>
              <w:tr2bl w:val="nil"/>
            </w:tcBorders>
            <w:noWrap w:val="0"/>
            <w:vAlign w:val="center"/>
          </w:tcPr>
          <w:p>
            <w:pPr>
              <w:numPr>
                <w:ilvl w:val="0"/>
                <w:numId w:val="0"/>
              </w:numPr>
              <w:spacing w:line="360" w:lineRule="auto"/>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驾驶规范</w:t>
            </w:r>
          </w:p>
        </w:tc>
        <w:tc>
          <w:tcPr>
            <w:tcW w:w="3491" w:type="pct"/>
            <w:tcBorders>
              <w:tl2br w:val="nil"/>
              <w:tr2bl w:val="nil"/>
            </w:tcBorders>
            <w:noWrap w:val="0"/>
            <w:vAlign w:val="top"/>
          </w:tcPr>
          <w:p>
            <w:pPr>
              <w:numPr>
                <w:ilvl w:val="0"/>
                <w:numId w:val="108"/>
              </w:num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开车打手机、抽烟；</w:t>
            </w:r>
          </w:p>
          <w:p>
            <w:pPr>
              <w:pStyle w:val="16"/>
              <w:numPr>
                <w:ilvl w:val="0"/>
                <w:numId w:val="108"/>
              </w:numPr>
              <w:ind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交通高峰时段违规作业、占道作业行为；</w:t>
            </w:r>
          </w:p>
          <w:p>
            <w:pPr>
              <w:pStyle w:val="16"/>
              <w:numPr>
                <w:ilvl w:val="0"/>
                <w:numId w:val="108"/>
              </w:numPr>
              <w:ind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超速行驶、不文明驾驶等行为。</w:t>
            </w:r>
          </w:p>
        </w:tc>
      </w:tr>
    </w:tbl>
    <w:p>
      <w:pPr>
        <w:numPr>
          <w:ilvl w:val="0"/>
          <w:numId w:val="0"/>
        </w:numPr>
        <w:spacing w:line="360" w:lineRule="auto"/>
        <w:ind w:left="0" w:leftChars="0" w:firstLine="0" w:firstLineChars="0"/>
        <w:rPr>
          <w:rFonts w:hint="eastAsia" w:ascii="仿宋" w:hAnsi="仿宋" w:eastAsia="仿宋" w:cs="仿宋"/>
          <w:color w:val="auto"/>
          <w:sz w:val="21"/>
          <w:szCs w:val="21"/>
          <w:lang w:eastAsia="zh-CN"/>
        </w:rPr>
      </w:pPr>
    </w:p>
    <w:p>
      <w:pPr>
        <w:numPr>
          <w:ilvl w:val="0"/>
          <w:numId w:val="0"/>
        </w:numPr>
        <w:spacing w:line="360" w:lineRule="auto"/>
        <w:ind w:left="210" w:leftChars="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val="en-US" w:eastAsia="zh-CN"/>
        </w:rPr>
        <w:t>三、</w:t>
      </w:r>
      <w:r>
        <w:rPr>
          <w:rFonts w:hint="eastAsia" w:ascii="黑体" w:hAnsi="黑体" w:eastAsia="黑体" w:cs="黑体"/>
          <w:b/>
          <w:bCs/>
          <w:color w:val="auto"/>
          <w:sz w:val="28"/>
          <w:szCs w:val="28"/>
        </w:rPr>
        <w:t>环卫停车场</w:t>
      </w:r>
      <w:r>
        <w:rPr>
          <w:rFonts w:hint="eastAsia" w:ascii="黑体" w:hAnsi="黑体" w:eastAsia="黑体" w:cs="黑体"/>
          <w:b/>
          <w:bCs/>
          <w:color w:val="auto"/>
          <w:sz w:val="28"/>
          <w:szCs w:val="28"/>
          <w:lang w:eastAsia="zh-CN"/>
        </w:rPr>
        <w:t>检查表</w:t>
      </w:r>
    </w:p>
    <w:p>
      <w:pPr>
        <w:numPr>
          <w:ilvl w:val="0"/>
          <w:numId w:val="0"/>
        </w:numPr>
        <w:ind w:left="210" w:leftChars="0"/>
        <w:outlineLvl w:val="9"/>
        <w:rPr>
          <w:rFonts w:hint="eastAsia"/>
          <w:lang w:eastAsia="zh-CN"/>
        </w:rPr>
      </w:pPr>
    </w:p>
    <w:tbl>
      <w:tblPr>
        <w:tblStyle w:val="10"/>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536"/>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6" w:type="pct"/>
            <w:tcBorders>
              <w:tl2br w:val="nil"/>
              <w:tr2bl w:val="nil"/>
            </w:tcBorders>
            <w:shd w:val="clear" w:color="auto" w:fill="auto"/>
            <w:noWrap w:val="0"/>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检查内容</w:t>
            </w:r>
          </w:p>
        </w:tc>
        <w:tc>
          <w:tcPr>
            <w:tcW w:w="897" w:type="pct"/>
            <w:tcBorders>
              <w:tl2br w:val="nil"/>
              <w:tr2bl w:val="nil"/>
            </w:tcBorders>
            <w:shd w:val="clear" w:color="auto" w:fill="auto"/>
            <w:noWrap w:val="0"/>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检查项目</w:t>
            </w:r>
          </w:p>
        </w:tc>
        <w:tc>
          <w:tcPr>
            <w:tcW w:w="3205" w:type="pct"/>
            <w:tcBorders>
              <w:tl2br w:val="nil"/>
              <w:tr2bl w:val="nil"/>
            </w:tcBorders>
            <w:shd w:val="clear" w:color="auto" w:fill="auto"/>
            <w:noWrap w:val="0"/>
            <w:vAlign w:val="top"/>
          </w:tcPr>
          <w:p>
            <w:p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restart"/>
            <w:tcBorders>
              <w:tl2br w:val="nil"/>
              <w:tr2bl w:val="nil"/>
            </w:tcBorders>
            <w:noWrap w:val="0"/>
            <w:vAlign w:val="center"/>
          </w:tcPr>
          <w:p>
            <w:pPr>
              <w:spacing w:line="360" w:lineRule="auto"/>
              <w:jc w:val="center"/>
              <w:rPr>
                <w:rFonts w:hint="eastAsia" w:ascii="仿宋" w:hAnsi="仿宋" w:eastAsia="仿宋" w:cs="仿宋"/>
                <w:bCs/>
                <w:caps/>
                <w:color w:val="auto"/>
                <w:sz w:val="24"/>
                <w:szCs w:val="24"/>
                <w:lang w:val="en-US" w:eastAsia="zh-CN"/>
              </w:rPr>
            </w:pPr>
            <w:r>
              <w:rPr>
                <w:rFonts w:hint="eastAsia" w:ascii="仿宋" w:hAnsi="仿宋" w:eastAsia="仿宋" w:cs="仿宋"/>
                <w:b/>
                <w:bCs/>
                <w:color w:val="auto"/>
                <w:sz w:val="24"/>
                <w:szCs w:val="24"/>
              </w:rPr>
              <w:t>环卫停车场</w:t>
            </w:r>
          </w:p>
        </w:tc>
        <w:tc>
          <w:tcPr>
            <w:tcW w:w="897" w:type="pct"/>
            <w:tcBorders>
              <w:tl2br w:val="nil"/>
              <w:tr2bl w:val="nil"/>
            </w:tcBorders>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门卫管理</w:t>
            </w:r>
          </w:p>
        </w:tc>
        <w:tc>
          <w:tcPr>
            <w:tcW w:w="3205" w:type="pct"/>
            <w:tcBorders>
              <w:tl2br w:val="nil"/>
              <w:tr2bl w:val="nil"/>
            </w:tcBorders>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环卫停车场设有专职门卫，实行24小时值班制管理</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tcBorders>
              <w:tl2br w:val="nil"/>
              <w:tr2bl w:val="nil"/>
            </w:tcBorders>
            <w:noWrap w:val="0"/>
            <w:vAlign w:val="center"/>
          </w:tcPr>
          <w:p>
            <w:pPr>
              <w:spacing w:line="360" w:lineRule="auto"/>
              <w:jc w:val="center"/>
              <w:rPr>
                <w:rFonts w:hint="eastAsia" w:ascii="仿宋" w:hAnsi="仿宋" w:eastAsia="仿宋" w:cs="仿宋"/>
                <w:bCs/>
                <w:caps/>
                <w:color w:val="auto"/>
                <w:sz w:val="24"/>
                <w:szCs w:val="24"/>
                <w:lang w:val="en-US" w:eastAsia="zh-CN"/>
              </w:rPr>
            </w:pPr>
          </w:p>
        </w:tc>
        <w:tc>
          <w:tcPr>
            <w:tcW w:w="897" w:type="pct"/>
            <w:tcBorders>
              <w:tl2br w:val="nil"/>
              <w:tr2bl w:val="nil"/>
            </w:tcBorders>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出入登记</w:t>
            </w:r>
          </w:p>
        </w:tc>
        <w:tc>
          <w:tcPr>
            <w:tcW w:w="3205" w:type="pct"/>
            <w:tcBorders>
              <w:tl2br w:val="nil"/>
              <w:tr2bl w:val="nil"/>
            </w:tcBorders>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val="en-US" w:eastAsia="zh-CN"/>
              </w:rPr>
              <w:t>车辆和外来人员进出停车场均有详细登记。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tcBorders>
              <w:tl2br w:val="nil"/>
              <w:tr2bl w:val="nil"/>
            </w:tcBorders>
            <w:noWrap w:val="0"/>
            <w:vAlign w:val="center"/>
          </w:tcPr>
          <w:p>
            <w:pPr>
              <w:spacing w:line="360" w:lineRule="auto"/>
              <w:jc w:val="center"/>
              <w:rPr>
                <w:rFonts w:hint="eastAsia" w:ascii="仿宋" w:hAnsi="仿宋" w:eastAsia="仿宋" w:cs="仿宋"/>
                <w:bCs/>
                <w:caps/>
                <w:color w:val="auto"/>
                <w:sz w:val="24"/>
                <w:szCs w:val="24"/>
                <w:lang w:val="en-US" w:eastAsia="zh-CN"/>
              </w:rPr>
            </w:pPr>
          </w:p>
        </w:tc>
        <w:tc>
          <w:tcPr>
            <w:tcW w:w="897" w:type="pct"/>
            <w:tcBorders>
              <w:tl2br w:val="nil"/>
              <w:tr2bl w:val="nil"/>
            </w:tcBorders>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场内卫生</w:t>
            </w:r>
          </w:p>
        </w:tc>
        <w:tc>
          <w:tcPr>
            <w:tcW w:w="3205" w:type="pct"/>
            <w:tcBorders>
              <w:tl2br w:val="nil"/>
              <w:tr2bl w:val="nil"/>
            </w:tcBorders>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停车场及进场道路干净清洁，基本无垃圾、无污水、无污渍、无异味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排污沟渠干净卫生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基本无垃圾、无污水、无污泥、无蚊蝇</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tcBorders>
              <w:tl2br w:val="nil"/>
              <w:tr2bl w:val="nil"/>
            </w:tcBorders>
            <w:noWrap w:val="0"/>
            <w:vAlign w:val="center"/>
          </w:tcPr>
          <w:p>
            <w:pPr>
              <w:spacing w:line="360" w:lineRule="auto"/>
              <w:jc w:val="center"/>
              <w:rPr>
                <w:rFonts w:hint="eastAsia" w:ascii="仿宋" w:hAnsi="仿宋" w:eastAsia="仿宋" w:cs="仿宋"/>
                <w:i w:val="0"/>
                <w:iCs w:val="0"/>
                <w:color w:val="auto"/>
                <w:sz w:val="24"/>
                <w:szCs w:val="24"/>
                <w:u w:val="none"/>
                <w:lang w:eastAsia="zh-CN"/>
              </w:rPr>
            </w:pPr>
          </w:p>
        </w:tc>
        <w:tc>
          <w:tcPr>
            <w:tcW w:w="897" w:type="pct"/>
            <w:tcBorders>
              <w:tl2br w:val="nil"/>
              <w:tr2bl w:val="nil"/>
            </w:tcBorders>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车辆停放</w:t>
            </w:r>
          </w:p>
        </w:tc>
        <w:tc>
          <w:tcPr>
            <w:tcW w:w="3205" w:type="pct"/>
            <w:tcBorders>
              <w:tl2br w:val="nil"/>
              <w:tr2bl w:val="nil"/>
            </w:tcBorders>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停场内所有车辆按规定位置有序停放、整齐排列，</w:t>
            </w:r>
            <w:r>
              <w:rPr>
                <w:rFonts w:hint="eastAsia" w:ascii="仿宋" w:hAnsi="仿宋" w:eastAsia="仿宋" w:cs="仿宋"/>
                <w:color w:val="auto"/>
                <w:sz w:val="24"/>
                <w:szCs w:val="24"/>
                <w:lang w:val="en-US" w:eastAsia="zh-CN"/>
              </w:rPr>
              <w:t>无</w:t>
            </w:r>
            <w:r>
              <w:rPr>
                <w:rFonts w:hint="eastAsia" w:ascii="仿宋" w:hAnsi="仿宋" w:eastAsia="仿宋" w:cs="仿宋"/>
                <w:color w:val="auto"/>
                <w:sz w:val="24"/>
                <w:szCs w:val="24"/>
              </w:rPr>
              <w:t>乱停乱放</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道路</w:t>
            </w:r>
            <w:r>
              <w:rPr>
                <w:rFonts w:hint="eastAsia" w:ascii="仿宋" w:hAnsi="仿宋" w:eastAsia="仿宋" w:cs="仿宋"/>
                <w:color w:val="auto"/>
                <w:sz w:val="24"/>
                <w:szCs w:val="24"/>
                <w:lang w:val="en-US" w:eastAsia="zh-CN"/>
              </w:rPr>
              <w:t>无阻塞</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车容车貌</w:t>
            </w:r>
          </w:p>
        </w:tc>
        <w:tc>
          <w:tcPr>
            <w:tcW w:w="0" w:type="auto"/>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停放在停车场的</w:t>
            </w:r>
            <w:r>
              <w:rPr>
                <w:rFonts w:hint="eastAsia" w:ascii="仿宋" w:hAnsi="仿宋" w:eastAsia="仿宋" w:cs="仿宋"/>
                <w:color w:val="auto"/>
                <w:sz w:val="24"/>
                <w:szCs w:val="24"/>
                <w:lang w:val="en-US" w:eastAsia="zh-CN"/>
              </w:rPr>
              <w:t>处于使用状态的</w:t>
            </w:r>
            <w:r>
              <w:rPr>
                <w:rFonts w:hint="eastAsia" w:ascii="仿宋" w:hAnsi="仿宋" w:eastAsia="仿宋" w:cs="仿宋"/>
                <w:color w:val="auto"/>
                <w:sz w:val="24"/>
                <w:szCs w:val="24"/>
              </w:rPr>
              <w:t>车辆</w:t>
            </w:r>
            <w:r>
              <w:rPr>
                <w:rFonts w:hint="eastAsia" w:ascii="仿宋" w:hAnsi="仿宋" w:eastAsia="仿宋" w:cs="仿宋"/>
                <w:color w:val="auto"/>
                <w:sz w:val="24"/>
                <w:szCs w:val="24"/>
                <w:lang w:val="en-US" w:eastAsia="zh-CN"/>
              </w:rPr>
              <w:t>外观整齐，无破损、无锈蚀；</w:t>
            </w:r>
            <w:r>
              <w:rPr>
                <w:rFonts w:hint="eastAsia" w:ascii="仿宋" w:hAnsi="仿宋" w:eastAsia="仿宋" w:cs="仿宋"/>
                <w:color w:val="auto"/>
                <w:sz w:val="24"/>
                <w:szCs w:val="24"/>
              </w:rPr>
              <w:t>外表干净整洁，无垃圾、无</w:t>
            </w:r>
            <w:r>
              <w:rPr>
                <w:rFonts w:hint="eastAsia" w:ascii="仿宋" w:hAnsi="仿宋" w:eastAsia="仿宋" w:cs="仿宋"/>
                <w:color w:val="auto"/>
                <w:sz w:val="24"/>
                <w:szCs w:val="24"/>
                <w:lang w:val="en-US" w:eastAsia="zh-CN"/>
              </w:rPr>
              <w:t>积尘</w:t>
            </w:r>
            <w:r>
              <w:rPr>
                <w:rFonts w:hint="eastAsia" w:ascii="仿宋" w:hAnsi="仿宋" w:eastAsia="仿宋" w:cs="仿宋"/>
                <w:color w:val="auto"/>
                <w:sz w:val="24"/>
                <w:szCs w:val="24"/>
              </w:rPr>
              <w:t>、无污渍、无异味；</w:t>
            </w:r>
            <w:r>
              <w:rPr>
                <w:rFonts w:hint="eastAsia" w:ascii="仿宋" w:hAnsi="仿宋" w:eastAsia="仿宋" w:cs="仿宋"/>
                <w:color w:val="auto"/>
                <w:sz w:val="24"/>
                <w:szCs w:val="24"/>
                <w:lang w:val="en-US" w:eastAsia="zh-CN"/>
              </w:rPr>
              <w:t>垃圾运输车</w:t>
            </w:r>
            <w:r>
              <w:rPr>
                <w:rFonts w:hint="eastAsia" w:ascii="仿宋" w:hAnsi="仿宋" w:eastAsia="仿宋" w:cs="仿宋"/>
                <w:color w:val="auto"/>
                <w:sz w:val="24"/>
                <w:szCs w:val="24"/>
              </w:rPr>
              <w:t>污水箱</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槽</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内污水已排放干净。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消防通道</w:t>
            </w:r>
          </w:p>
        </w:tc>
        <w:tc>
          <w:tcPr>
            <w:tcW w:w="0" w:type="auto"/>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各进出口及消防通道</w:t>
            </w:r>
            <w:r>
              <w:rPr>
                <w:rFonts w:hint="eastAsia" w:ascii="仿宋" w:hAnsi="仿宋" w:eastAsia="仿宋" w:cs="仿宋"/>
                <w:color w:val="auto"/>
                <w:sz w:val="24"/>
                <w:szCs w:val="24"/>
                <w:lang w:val="en-US" w:eastAsia="zh-CN"/>
              </w:rPr>
              <w:t>未停放任何车辆，未堆放任何杂物，消防</w:t>
            </w:r>
            <w:r>
              <w:rPr>
                <w:rFonts w:hint="eastAsia" w:ascii="仿宋" w:hAnsi="仿宋" w:eastAsia="仿宋" w:cs="仿宋"/>
                <w:color w:val="auto"/>
                <w:sz w:val="24"/>
                <w:szCs w:val="24"/>
              </w:rPr>
              <w:t>道路畅通</w:t>
            </w:r>
            <w:r>
              <w:rPr>
                <w:rFonts w:hint="eastAsia" w:ascii="仿宋" w:hAnsi="仿宋" w:eastAsia="仿宋" w:cs="仿宋"/>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消防管理</w:t>
            </w:r>
          </w:p>
        </w:tc>
        <w:tc>
          <w:tcPr>
            <w:tcW w:w="0" w:type="auto"/>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配有消防栓、手推式和手提灭火器，灭火器每月检查维护</w:t>
            </w:r>
            <w:r>
              <w:rPr>
                <w:rFonts w:hint="eastAsia" w:ascii="仿宋" w:hAnsi="仿宋" w:eastAsia="仿宋" w:cs="仿宋"/>
                <w:color w:val="auto"/>
                <w:sz w:val="24"/>
                <w:szCs w:val="24"/>
                <w:lang w:val="en-US" w:eastAsia="zh-CN"/>
              </w:rPr>
              <w:t>不少于</w:t>
            </w:r>
            <w:r>
              <w:rPr>
                <w:rFonts w:hint="eastAsia" w:ascii="仿宋" w:hAnsi="仿宋" w:eastAsia="仿宋" w:cs="仿宋"/>
                <w:color w:val="auto"/>
                <w:sz w:val="24"/>
                <w:szCs w:val="24"/>
              </w:rPr>
              <w:t>1次，并处于可用状态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现场无人吸烟。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维修现场</w:t>
            </w:r>
          </w:p>
        </w:tc>
        <w:tc>
          <w:tcPr>
            <w:tcW w:w="0" w:type="auto"/>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维修车间地面无油污，通道无杂物、无阻塞。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管理制度</w:t>
            </w:r>
          </w:p>
        </w:tc>
        <w:tc>
          <w:tcPr>
            <w:tcW w:w="0" w:type="auto"/>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维修车间</w:t>
            </w:r>
            <w:r>
              <w:rPr>
                <w:rFonts w:hint="eastAsia" w:ascii="仿宋" w:hAnsi="仿宋" w:eastAsia="仿宋" w:cs="仿宋"/>
                <w:color w:val="auto"/>
                <w:sz w:val="24"/>
                <w:szCs w:val="24"/>
                <w:lang w:val="en-US" w:eastAsia="zh-CN"/>
              </w:rPr>
              <w:t>醒目位置挂</w:t>
            </w:r>
            <w:r>
              <w:rPr>
                <w:rFonts w:hint="eastAsia" w:ascii="仿宋" w:hAnsi="仿宋" w:eastAsia="仿宋" w:cs="仿宋"/>
                <w:color w:val="auto"/>
                <w:sz w:val="24"/>
                <w:szCs w:val="24"/>
              </w:rPr>
              <w:t>有安全管理制度</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各相关操作规程。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气焊使用</w:t>
            </w:r>
          </w:p>
        </w:tc>
        <w:tc>
          <w:tcPr>
            <w:tcW w:w="0" w:type="auto"/>
            <w:noWrap w:val="0"/>
            <w:vAlign w:val="center"/>
          </w:tcPr>
          <w:p>
            <w:pPr>
              <w:numPr>
                <w:ilvl w:val="0"/>
                <w:numId w:val="109"/>
              </w:num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乙炔瓶采取防止倾倒措施</w:t>
            </w:r>
            <w:r>
              <w:rPr>
                <w:rFonts w:hint="eastAsia" w:ascii="仿宋" w:hAnsi="仿宋" w:eastAsia="仿宋" w:cs="仿宋"/>
                <w:color w:val="auto"/>
                <w:sz w:val="24"/>
                <w:szCs w:val="24"/>
                <w:lang w:eastAsia="zh-CN"/>
              </w:rPr>
              <w:t>；</w:t>
            </w:r>
          </w:p>
          <w:p>
            <w:pPr>
              <w:numPr>
                <w:ilvl w:val="0"/>
                <w:numId w:val="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乙炔瓶</w:t>
            </w:r>
            <w:r>
              <w:rPr>
                <w:rFonts w:hint="eastAsia" w:ascii="仿宋" w:hAnsi="仿宋" w:eastAsia="仿宋" w:cs="仿宋"/>
                <w:color w:val="auto"/>
                <w:sz w:val="24"/>
                <w:szCs w:val="24"/>
                <w:lang w:val="en-US" w:eastAsia="zh-CN"/>
              </w:rPr>
              <w:t>阀门干净，无油污；</w:t>
            </w:r>
          </w:p>
          <w:p>
            <w:pPr>
              <w:numPr>
                <w:ilvl w:val="0"/>
                <w:numId w:val="0"/>
              </w:numPr>
              <w:spacing w:line="360" w:lineRule="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氧气瓶和乙炔气瓶</w:t>
            </w:r>
            <w:r>
              <w:rPr>
                <w:rFonts w:hint="eastAsia" w:ascii="仿宋" w:hAnsi="仿宋" w:eastAsia="仿宋" w:cs="仿宋"/>
                <w:color w:val="auto"/>
                <w:sz w:val="24"/>
                <w:szCs w:val="24"/>
                <w:lang w:val="en-US" w:eastAsia="zh-CN"/>
              </w:rPr>
              <w:t>相距</w:t>
            </w:r>
            <w:r>
              <w:rPr>
                <w:rFonts w:hint="eastAsia" w:ascii="仿宋" w:hAnsi="仿宋" w:eastAsia="仿宋" w:cs="仿宋"/>
                <w:color w:val="auto"/>
                <w:sz w:val="24"/>
                <w:szCs w:val="24"/>
              </w:rPr>
              <w:t>不</w:t>
            </w:r>
            <w:r>
              <w:rPr>
                <w:rFonts w:hint="eastAsia" w:ascii="仿宋" w:hAnsi="仿宋" w:eastAsia="仿宋" w:cs="仿宋"/>
                <w:color w:val="auto"/>
                <w:sz w:val="24"/>
                <w:szCs w:val="24"/>
                <w:lang w:val="en-US" w:eastAsia="zh-CN"/>
              </w:rPr>
              <w:t>少</w:t>
            </w:r>
            <w:r>
              <w:rPr>
                <w:rFonts w:hint="eastAsia" w:ascii="仿宋" w:hAnsi="仿宋" w:eastAsia="仿宋" w:cs="仿宋"/>
                <w:color w:val="auto"/>
                <w:sz w:val="24"/>
                <w:szCs w:val="24"/>
              </w:rPr>
              <w:t>于5m，</w:t>
            </w:r>
            <w:r>
              <w:rPr>
                <w:rFonts w:hint="eastAsia" w:ascii="仿宋" w:hAnsi="仿宋" w:eastAsia="仿宋" w:cs="仿宋"/>
                <w:color w:val="auto"/>
                <w:sz w:val="24"/>
                <w:szCs w:val="24"/>
                <w:lang w:val="en-US" w:eastAsia="zh-CN"/>
              </w:rPr>
              <w:t>距离</w:t>
            </w:r>
            <w:r>
              <w:rPr>
                <w:rFonts w:hint="eastAsia" w:ascii="仿宋" w:hAnsi="仿宋" w:eastAsia="仿宋" w:cs="仿宋"/>
                <w:color w:val="auto"/>
                <w:sz w:val="24"/>
                <w:szCs w:val="24"/>
              </w:rPr>
              <w:t>火源</w:t>
            </w:r>
            <w:r>
              <w:rPr>
                <w:rFonts w:hint="eastAsia" w:ascii="仿宋" w:hAnsi="仿宋" w:eastAsia="仿宋" w:cs="仿宋"/>
                <w:color w:val="auto"/>
                <w:sz w:val="24"/>
                <w:szCs w:val="24"/>
                <w:lang w:val="en-US" w:eastAsia="zh-CN"/>
              </w:rPr>
              <w:t>不少于10</w:t>
            </w:r>
            <w:r>
              <w:rPr>
                <w:rFonts w:hint="eastAsia" w:ascii="仿宋" w:hAnsi="仿宋" w:eastAsia="仿宋" w:cs="仿宋"/>
                <w:color w:val="auto"/>
                <w:sz w:val="24"/>
                <w:szCs w:val="24"/>
              </w:rPr>
              <w:t>m</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4.输气软管无老化、无开裂、无破损。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气瓶管理</w:t>
            </w:r>
          </w:p>
        </w:tc>
        <w:tc>
          <w:tcPr>
            <w:tcW w:w="0" w:type="auto"/>
            <w:noWrap w:val="0"/>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1.气瓶储存场所远离办公室或休息室，距离有人场所必须大于15m；</w:t>
            </w:r>
          </w:p>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2.储存场所有良好的通风、降温、防雷、防静电等设施；3.储存场所周边15m范围以内，禁止吸烟，禁止明火或产生火花作业；</w:t>
            </w:r>
          </w:p>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4.严禁乙炔瓶与</w:t>
            </w:r>
            <w:r>
              <w:rPr>
                <w:rFonts w:hint="eastAsia" w:ascii="仿宋" w:hAnsi="仿宋" w:eastAsia="仿宋" w:cs="仿宋"/>
                <w:color w:val="auto"/>
                <w:sz w:val="24"/>
                <w:szCs w:val="24"/>
                <w:vertAlign w:val="baseline"/>
                <w:lang w:val="en-US" w:eastAsia="zh-CN"/>
              </w:rPr>
              <w:fldChar w:fldCharType="begin"/>
            </w:r>
            <w:r>
              <w:rPr>
                <w:rFonts w:hint="eastAsia" w:ascii="仿宋" w:hAnsi="仿宋" w:eastAsia="仿宋" w:cs="仿宋"/>
                <w:color w:val="auto"/>
                <w:sz w:val="24"/>
                <w:szCs w:val="24"/>
                <w:vertAlign w:val="baseline"/>
                <w:lang w:val="en-US" w:eastAsia="zh-CN"/>
              </w:rPr>
              <w:instrText xml:space="preserve"> HYPERLINK "http://zhidao.baidu.com/search?word=%E6%B0%A7%E6%B0%94%E7%93%B6&amp;fr=qb_search_exp&amp;ie=utf8" \t "http://jx.whpu.edu.cn/info/1024/_blank" </w:instrText>
            </w:r>
            <w:r>
              <w:rPr>
                <w:rFonts w:hint="eastAsia" w:ascii="仿宋" w:hAnsi="仿宋" w:eastAsia="仿宋" w:cs="仿宋"/>
                <w:color w:val="auto"/>
                <w:sz w:val="24"/>
                <w:szCs w:val="24"/>
                <w:vertAlign w:val="baseline"/>
                <w:lang w:val="en-US" w:eastAsia="zh-CN"/>
              </w:rPr>
              <w:fldChar w:fldCharType="separate"/>
            </w:r>
            <w:r>
              <w:rPr>
                <w:rFonts w:hint="eastAsia" w:ascii="仿宋" w:hAnsi="仿宋" w:eastAsia="仿宋" w:cs="仿宋"/>
                <w:color w:val="auto"/>
                <w:sz w:val="24"/>
                <w:szCs w:val="24"/>
                <w:vertAlign w:val="baseline"/>
                <w:lang w:val="en-US" w:eastAsia="zh-CN"/>
              </w:rPr>
              <w:t>氧气瓶</w:t>
            </w:r>
            <w:r>
              <w:rPr>
                <w:rFonts w:hint="eastAsia" w:ascii="仿宋" w:hAnsi="仿宋" w:eastAsia="仿宋" w:cs="仿宋"/>
                <w:color w:val="auto"/>
                <w:sz w:val="24"/>
                <w:szCs w:val="24"/>
                <w:vertAlign w:val="baseline"/>
                <w:lang w:val="en-US" w:eastAsia="zh-CN"/>
              </w:rPr>
              <w:fldChar w:fldCharType="end"/>
            </w:r>
            <w:r>
              <w:rPr>
                <w:rFonts w:hint="eastAsia" w:ascii="仿宋" w:hAnsi="仿宋" w:eastAsia="仿宋" w:cs="仿宋"/>
                <w:color w:val="auto"/>
                <w:sz w:val="24"/>
                <w:szCs w:val="24"/>
                <w:vertAlign w:val="baseline"/>
                <w:lang w:val="en-US" w:eastAsia="zh-CN"/>
              </w:rPr>
              <w:t>及易燃物品同室储存；</w:t>
            </w:r>
          </w:p>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5.储存场所内乙炔瓶储量不得超过5瓶，气瓶用栏杆或支架加以固定或扎牢，防止倾倒或滚动；</w:t>
            </w:r>
          </w:p>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6.气瓶区设有明显的防火警示标识以及“氧气危险”、“乙炔危险”标识，空瓶和满瓶要清晰的在瓶体上标明；</w:t>
            </w:r>
          </w:p>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7.储存场所内配有干粉或二氧化碳灭火器，每月检查维护且处于有效状态；</w:t>
            </w:r>
          </w:p>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8.储存场所由专人负责，实行封闭管理。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废油管理</w:t>
            </w:r>
          </w:p>
        </w:tc>
        <w:tc>
          <w:tcPr>
            <w:tcW w:w="0" w:type="auto"/>
            <w:noWrap w:val="0"/>
            <w:vAlign w:val="center"/>
          </w:tcPr>
          <w:p>
            <w:pPr>
              <w:numPr>
                <w:ilvl w:val="0"/>
                <w:numId w:val="11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废油储存场所设置在停车场远离火源和人员活动的偏僻位置，实行围蔽管理；</w:t>
            </w:r>
          </w:p>
          <w:p>
            <w:pPr>
              <w:numPr>
                <w:ilvl w:val="0"/>
                <w:numId w:val="110"/>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张贴安全、防火标识；</w:t>
            </w:r>
          </w:p>
          <w:p>
            <w:pPr>
              <w:numPr>
                <w:ilvl w:val="0"/>
                <w:numId w:val="110"/>
              </w:num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储存场所周边禁止明火或产生火花作业；</w:t>
            </w:r>
          </w:p>
          <w:p>
            <w:pPr>
              <w:numPr>
                <w:ilvl w:val="0"/>
                <w:numId w:val="110"/>
              </w:num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门口配有</w:t>
            </w:r>
            <w:r>
              <w:rPr>
                <w:rFonts w:hint="eastAsia" w:ascii="仿宋" w:hAnsi="仿宋" w:eastAsia="仿宋" w:cs="仿宋"/>
                <w:color w:val="auto"/>
                <w:sz w:val="24"/>
                <w:szCs w:val="24"/>
              </w:rPr>
              <w:t>手推式和手提灭火器，灭火器每月检查维护</w:t>
            </w:r>
            <w:r>
              <w:rPr>
                <w:rFonts w:hint="eastAsia" w:ascii="仿宋" w:hAnsi="仿宋" w:eastAsia="仿宋" w:cs="仿宋"/>
                <w:color w:val="auto"/>
                <w:sz w:val="24"/>
                <w:szCs w:val="24"/>
                <w:lang w:val="en-US" w:eastAsia="zh-CN"/>
              </w:rPr>
              <w:t>且</w:t>
            </w:r>
            <w:r>
              <w:rPr>
                <w:rFonts w:hint="eastAsia" w:ascii="仿宋" w:hAnsi="仿宋" w:eastAsia="仿宋" w:cs="仿宋"/>
                <w:color w:val="auto"/>
                <w:sz w:val="24"/>
                <w:szCs w:val="24"/>
              </w:rPr>
              <w:t>处于可用状态</w:t>
            </w:r>
            <w:r>
              <w:rPr>
                <w:rFonts w:hint="eastAsia" w:ascii="仿宋" w:hAnsi="仿宋" w:eastAsia="仿宋" w:cs="仿宋"/>
                <w:color w:val="auto"/>
                <w:sz w:val="24"/>
                <w:szCs w:val="24"/>
                <w:lang w:eastAsia="zh-CN"/>
              </w:rPr>
              <w:t>；</w:t>
            </w:r>
          </w:p>
          <w:p>
            <w:pPr>
              <w:numPr>
                <w:ilvl w:val="0"/>
                <w:numId w:val="0"/>
              </w:numPr>
              <w:spacing w:line="360" w:lineRule="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lang w:val="en-US" w:eastAsia="zh-CN"/>
              </w:rPr>
              <w:t>5.</w:t>
            </w:r>
            <w:r>
              <w:rPr>
                <w:rFonts w:hint="eastAsia" w:ascii="仿宋" w:hAnsi="仿宋" w:eastAsia="仿宋" w:cs="仿宋"/>
                <w:color w:val="auto"/>
                <w:kern w:val="2"/>
                <w:sz w:val="24"/>
                <w:szCs w:val="24"/>
                <w:lang w:val="en-US" w:eastAsia="zh-CN" w:bidi="ar-SA"/>
              </w:rPr>
              <w:t>储存场所由专人负责，实行封闭管理</w:t>
            </w:r>
            <w:r>
              <w:rPr>
                <w:rFonts w:hint="eastAsia" w:ascii="仿宋" w:hAnsi="仿宋" w:eastAsia="仿宋"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工作台账</w:t>
            </w:r>
          </w:p>
        </w:tc>
        <w:tc>
          <w:tcPr>
            <w:tcW w:w="0" w:type="auto"/>
            <w:noWrap w:val="0"/>
            <w:vAlign w:val="center"/>
          </w:tcPr>
          <w:p>
            <w:pPr>
              <w:spacing w:line="360" w:lineRule="auto"/>
              <w:jc w:val="both"/>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rPr>
              <w:t>车辆进出、车辆检查维护、安全生产管理、员工教育培训、病媒病毒消杀等台账齐全规范。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车辆信息核查</w:t>
            </w:r>
          </w:p>
        </w:tc>
        <w:tc>
          <w:tcPr>
            <w:tcW w:w="0" w:type="auto"/>
            <w:noWrap w:val="0"/>
            <w:vAlign w:val="center"/>
          </w:tcPr>
          <w:p>
            <w:pPr>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环卫作业车辆和设备信息数据，确保车辆和设备信息与“广州市智慧环卫信息系统”登记信息一致。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96" w:type="pct"/>
            <w:vMerge w:val="continue"/>
            <w:noWrap w:val="0"/>
            <w:vAlign w:val="top"/>
          </w:tcPr>
          <w:p>
            <w:pPr>
              <w:spacing w:line="360" w:lineRule="auto"/>
              <w:jc w:val="center"/>
              <w:rPr>
                <w:rFonts w:hint="eastAsia" w:ascii="仿宋" w:hAnsi="仿宋" w:eastAsia="仿宋" w:cs="仿宋"/>
                <w:i w:val="0"/>
                <w:iCs w:val="0"/>
                <w:color w:val="auto"/>
                <w:sz w:val="24"/>
                <w:szCs w:val="24"/>
                <w:u w:val="none"/>
                <w:lang w:eastAsia="zh-CN"/>
              </w:rPr>
            </w:pPr>
          </w:p>
        </w:tc>
        <w:tc>
          <w:tcPr>
            <w:tcW w:w="0" w:type="auto"/>
            <w:noWrap w:val="0"/>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维护情况</w:t>
            </w:r>
          </w:p>
        </w:tc>
        <w:tc>
          <w:tcPr>
            <w:tcW w:w="0" w:type="auto"/>
            <w:noWrap w:val="0"/>
            <w:vAlign w:val="center"/>
          </w:tcPr>
          <w:p>
            <w:pPr>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包括但不限于车辆和设备年审和日常维护情况。</w:t>
            </w:r>
          </w:p>
        </w:tc>
      </w:tr>
    </w:tbl>
    <w:p>
      <w:pPr>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br w:type="page"/>
      </w:r>
    </w:p>
    <w:p>
      <w:pPr>
        <w:pStyle w:val="3"/>
        <w:outlineLvl w:val="0"/>
        <w:rPr>
          <w:rFonts w:hint="eastAsia" w:ascii="宋体" w:hAnsi="宋体" w:eastAsia="宋体" w:cs="宋体"/>
          <w:b/>
          <w:bCs w:val="0"/>
          <w:color w:val="auto"/>
          <w:sz w:val="28"/>
          <w:szCs w:val="28"/>
          <w:lang w:val="en-US" w:eastAsia="zh-CN"/>
        </w:rPr>
      </w:pPr>
      <w:r>
        <w:rPr>
          <w:rFonts w:hint="eastAsia" w:ascii="宋体" w:hAnsi="宋体" w:eastAsia="宋体" w:cs="宋体"/>
          <w:b/>
          <w:bCs w:val="0"/>
          <w:color w:val="auto"/>
          <w:sz w:val="28"/>
          <w:szCs w:val="28"/>
          <w:lang w:val="en-US" w:eastAsia="zh-CN"/>
        </w:rPr>
        <w:t>附件11：《垃圾压缩站检查表》</w:t>
      </w:r>
    </w:p>
    <w:p>
      <w:pPr>
        <w:numPr>
          <w:ilvl w:val="0"/>
          <w:numId w:val="0"/>
        </w:numPr>
        <w:spacing w:line="360" w:lineRule="auto"/>
        <w:ind w:left="0" w:leftChars="0" w:firstLine="0" w:firstLineChars="0"/>
        <w:jc w:val="center"/>
        <w:rPr>
          <w:rFonts w:hint="eastAsia" w:ascii="黑体" w:hAnsi="黑体" w:eastAsia="黑体" w:cs="黑体"/>
          <w:b/>
          <w:bCs/>
          <w:color w:val="auto"/>
          <w:sz w:val="28"/>
          <w:szCs w:val="28"/>
          <w:lang w:eastAsia="zh-CN"/>
        </w:rPr>
      </w:pPr>
      <w:r>
        <w:rPr>
          <w:rFonts w:hint="eastAsia" w:ascii="黑体" w:hAnsi="黑体" w:eastAsia="黑体" w:cs="黑体"/>
          <w:b/>
          <w:bCs/>
          <w:color w:val="auto"/>
          <w:sz w:val="28"/>
          <w:szCs w:val="28"/>
          <w:lang w:eastAsia="zh-CN"/>
        </w:rPr>
        <w:t>垃圾压缩站检查表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245"/>
        <w:gridCol w:w="6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pStyle w:val="14"/>
              <w:spacing w:line="360" w:lineRule="auto"/>
              <w:jc w:val="center"/>
              <w:rPr>
                <w:rFonts w:hint="eastAsia"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检查项目</w:t>
            </w:r>
          </w:p>
        </w:tc>
        <w:tc>
          <w:tcPr>
            <w:tcW w:w="1245" w:type="dxa"/>
            <w:vAlign w:val="center"/>
          </w:tcPr>
          <w:p>
            <w:pPr>
              <w:pStyle w:val="14"/>
              <w:spacing w:line="360" w:lineRule="auto"/>
              <w:jc w:val="center"/>
              <w:rPr>
                <w:rFonts w:hint="eastAsia"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检查内容</w:t>
            </w:r>
          </w:p>
        </w:tc>
        <w:tc>
          <w:tcPr>
            <w:tcW w:w="6383" w:type="dxa"/>
            <w:vAlign w:val="center"/>
          </w:tcPr>
          <w:p>
            <w:pPr>
              <w:pStyle w:val="14"/>
              <w:spacing w:line="360" w:lineRule="auto"/>
              <w:jc w:val="center"/>
              <w:rPr>
                <w:rFonts w:hint="eastAsia" w:ascii="仿宋" w:hAnsi="仿宋" w:eastAsia="仿宋" w:cs="仿宋"/>
                <w:b/>
                <w:bCs/>
                <w:color w:val="auto"/>
                <w:spacing w:val="0"/>
                <w:kern w:val="2"/>
                <w:sz w:val="24"/>
                <w:szCs w:val="24"/>
                <w:lang w:val="en-US" w:eastAsia="zh-CN" w:bidi="ar-SA"/>
              </w:rPr>
            </w:pPr>
            <w:r>
              <w:rPr>
                <w:rFonts w:hint="eastAsia" w:ascii="仿宋" w:hAnsi="仿宋" w:eastAsia="仿宋" w:cs="仿宋"/>
                <w:b/>
                <w:bCs/>
                <w:color w:val="auto"/>
                <w:spacing w:val="0"/>
                <w:kern w:val="2"/>
                <w:sz w:val="24"/>
                <w:szCs w:val="24"/>
                <w:lang w:val="en-US" w:eastAsia="zh-CN" w:bidi="ar-SA"/>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整体环境</w:t>
            </w: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标识标牌</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1.显眼处设有标识牌（包括场地标识、设备标识、安全标识），且内容完整规范；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2.重要和危险位置的警告、警示标识、操作指示标识应完好齐全。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管理制度</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在作业区墙面醒目位置张贴压缩站操作规程、管理制度、安全制度。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站容站貌</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站外车辆回转场区和站内地面平整完好、无破损；建筑墙面外观整齐、无剥脱；门窗干净整洁、无破损。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站外卫生</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站外周边排污沟渠干净卫生，站外周边无垃圾、无杂物、无污水、无污渍、无积尘、无异味、无乱张贴拉挂。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站内卫生</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站内地面、排污渠、墙壁、窗户、天花板、压缩设备干净清洁，无垃圾、无杂物、无污水、无污渍、无积尘、无蛛网、无异味。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设施设备</w:t>
            </w: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主体设施</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1.压缩站配套压缩设备或压缩转运车；</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2.压缩站主体设施及容器封闭；</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3.道路符合有关要求，满足车辆负荷和通行要求，道路宽度、转弯半径与承载能力等满足最大转运车辆满载运行的要求。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作业设备</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1.配套建设通风、降尘、除臭、降噪设备，且设备工作状态正常；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2.配备高压冲洗设备，且设备工作状态正常；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3.压缩设备具有封闭卸料、填装压实(压缩)、装箱启运等功能，且工作状态良好；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4.设有联动或限位装置、锁紧或限位装置，且工作状态正常；</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5.压缩设备各接口连接配合良好；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6.液压设备连接牢固、工作可靠。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配套设备</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1.压缩站作业区域配套供水、供电系统和照明设施；</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2.排水系统做到雨污分流。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设备维护</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1.站内给水、排污、照明、电气、压缩等设施设备维护保养良好，工作状态正常，且外观良好，无锈蚀，无破损，无污渍；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2.压缩站内各种机械设备应进行日常维护保养，按照有关规定进行大、中、小修并有相关维修记录，各种机械设备达到使用年限必须进行报废。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污染防控</w:t>
            </w: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通风除臭</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1.作业期间正常开启除臭通风设施；</w:t>
            </w:r>
          </w:p>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2.除臭和通风设施使用过程中效果良好。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污水处理</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1.站内污水接驳市政污水管网的，排污渠道畅通；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2.排污渠道合理遮盖；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3.建有沉沙池、隔油池或化粪池；</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4.未接驳市政污水管网的，建有污水收集池，配备污水收集车，定期将污水运输到市污水厂处理；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5.出站转运车辆和垃圾桶站内清洗污水未流入周边明渠等非污水管网。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病媒消杀</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1.管理和操作人员按要求佩戴口罩、手套等防护物品，落实消毒、消杀制度，配备喷雾器、消毒剂等防控物资；</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2.每班作业完毕，对站内全面冲洗消毒；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3.每周定期对空气净化设备和污水沉淀池进行清理消毒；</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4.每周定期组织开展站内外“四害”消杀工作，站内无蚊、蝇、蟑螂、老鼠。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噪音扰民</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1.站内转运车辆和操作人员工作秩序良好，无喧哗、吵闹现场发生；</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2.压缩站设备运作时或在正常运营时间内无噪音扰民现象。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运行管理</w:t>
            </w: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管理规范</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1.压缩站管理架构健全，安排专人管理；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2.管理人员和操作人员持证上岗，熟悉运行管理要求和设施操作规程；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3.有运行作业手册及设备操作维护保养手册，规章制度和岗位职责明确、健全，实施到位。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应急处理</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压缩站有紧急突发情况发生，具备有效的应急处置预案或措施。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收集和运输作业</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1.收集、转运车辆和压缩站设施配套；</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2.转运车辆型号和载重量满足转运作业要求,密闭运输并保持车况良好。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压缩作业</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1.垃圾卸车、压实(压缩)、装车过程按照操作规程执行且作业规范；</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2.有应对垃圾转运高峰和紧急状况的措施。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进料检查</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在装填垃圾作业时，严格检查垃圾成分，不得将危险废物、违禁废物和大件垃圾倒进料斗，不得压缩非城市生活垃圾；不得在站内分拣垃圾。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车辆停放</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1.转运车辆依次停放在车辆回转场区等候进站；不得鸣笛；不得占用周边市政道路，影响车辆和行人通行。</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2.非转运车辆严禁站内停放，堵塞转运通道。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车辆离场</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1.桶装车驶离压缩站前，用高压水枪将车身和其所携载的垃圾桶冲洗干净；</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2.垃圾压缩车辆驶离压缩站前须将污水箱内污水排放干净，关闭排污阀，密闭箱体，打起接污水槽，用高压水枪将车身冲洗干净，清理夹挂垃圾，锁紧压缩车辆锁定机构。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清扫保洁</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1.进站垃圾做到日产日清，不堆积过夜；</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2.作业间隙站区地面及时冲洗、清扫、消毒，站内干净整洁，无明显异味。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工具管理</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站内作业工具、消毒用品集中存放在工具房，规范有序摆放，妥善保管，未在站内堆积存放与压缩转运作业无关的物品。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restart"/>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安全生产</w:t>
            </w: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安全制度</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1.岗位操作规程齐全且已上墙；</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2.操作人员按规章制度作业；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3.落实安全生产日常巡查、自查制度。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消防安全</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1.站区内设置明显防火标志；</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2.站区内配有消防栓和灭火器、防毒面罩等消防设施设备；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3.消防栓水压正常；灭火器、防毒面罩每月检查维护不少于1次，处于正常可用状态；</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4.严禁站内吸烟；</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5.环卫工人宿舍单独设置消防通道并保持畅通，不得使用明火。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用电安全</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1.站内用电设备和线路无破损、无老化；</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2.无私拉电线和随意搭接临时电线；</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3.电线走线安全合理避免落地；</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4.严禁站内给电动单车充电。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Merge w:val="continue"/>
            <w:vAlign w:val="center"/>
          </w:tcPr>
          <w:p>
            <w:pPr>
              <w:spacing w:line="360" w:lineRule="auto"/>
              <w:jc w:val="center"/>
              <w:rPr>
                <w:rFonts w:hint="eastAsia" w:ascii="仿宋" w:hAnsi="仿宋" w:eastAsia="仿宋" w:cs="仿宋"/>
                <w:color w:val="auto"/>
                <w:sz w:val="24"/>
                <w:szCs w:val="24"/>
                <w:vertAlign w:val="baseline"/>
              </w:rPr>
            </w:pP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作业安全</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1.严格按照操作规程进行车厢装卸、翻桶、压缩等作业；</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2.非站点操作人员严禁操作站内作业设备；</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3.在进行车厢装卸、翻桶作业时，周边人员均在安全范围内。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keepNext w:val="0"/>
              <w:keepLines w:val="0"/>
              <w:widowControl/>
              <w:suppressLineNumbers w:val="0"/>
              <w:spacing w:line="360" w:lineRule="auto"/>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auto"/>
                <w:kern w:val="0"/>
                <w:sz w:val="24"/>
                <w:szCs w:val="24"/>
                <w:u w:val="none"/>
                <w:lang w:val="en-US" w:eastAsia="zh-CN" w:bidi="ar"/>
              </w:rPr>
              <w:t>台账管理</w:t>
            </w:r>
          </w:p>
        </w:tc>
        <w:tc>
          <w:tcPr>
            <w:tcW w:w="1245"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工作台账</w:t>
            </w:r>
          </w:p>
        </w:tc>
        <w:tc>
          <w:tcPr>
            <w:tcW w:w="638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压缩站内是否有相关运行管理记录台账（垃圾量日、月、年记录；掌握日污水产生量及数量；作业日记；燃油料消耗记录；车辆和设备运行维护记录；每日进站车辆数量和出站箱数；事故及其处理记录；消毒、消杀记录；安全生产检查记录；安全隐患整改记录等）。</w:t>
            </w:r>
          </w:p>
        </w:tc>
      </w:tr>
    </w:tbl>
    <w:p>
      <w:pPr>
        <w:rPr>
          <w:rFonts w:hint="default"/>
          <w:color w:val="auto"/>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087B2"/>
    <w:multiLevelType w:val="singleLevel"/>
    <w:tmpl w:val="80F087B2"/>
    <w:lvl w:ilvl="0" w:tentative="0">
      <w:start w:val="1"/>
      <w:numFmt w:val="chineseCounting"/>
      <w:suff w:val="nothing"/>
      <w:lvlText w:val="%1、"/>
      <w:lvlJc w:val="left"/>
      <w:rPr>
        <w:rFonts w:hint="eastAsia"/>
      </w:rPr>
    </w:lvl>
  </w:abstractNum>
  <w:abstractNum w:abstractNumId="1">
    <w:nsid w:val="8604AFA7"/>
    <w:multiLevelType w:val="singleLevel"/>
    <w:tmpl w:val="8604AFA7"/>
    <w:lvl w:ilvl="0" w:tentative="0">
      <w:start w:val="1"/>
      <w:numFmt w:val="chineseCounting"/>
      <w:suff w:val="nothing"/>
      <w:lvlText w:val="（%1）"/>
      <w:lvlJc w:val="left"/>
      <w:rPr>
        <w:rFonts w:hint="eastAsia"/>
      </w:rPr>
    </w:lvl>
  </w:abstractNum>
  <w:abstractNum w:abstractNumId="2">
    <w:nsid w:val="867D2350"/>
    <w:multiLevelType w:val="singleLevel"/>
    <w:tmpl w:val="867D2350"/>
    <w:lvl w:ilvl="0" w:tentative="0">
      <w:start w:val="1"/>
      <w:numFmt w:val="decimal"/>
      <w:lvlText w:val="%1."/>
      <w:lvlJc w:val="left"/>
      <w:pPr>
        <w:tabs>
          <w:tab w:val="left" w:pos="312"/>
        </w:tabs>
      </w:pPr>
    </w:lvl>
  </w:abstractNum>
  <w:abstractNum w:abstractNumId="3">
    <w:nsid w:val="87C8B9F0"/>
    <w:multiLevelType w:val="singleLevel"/>
    <w:tmpl w:val="87C8B9F0"/>
    <w:lvl w:ilvl="0" w:tentative="0">
      <w:start w:val="1"/>
      <w:numFmt w:val="decimal"/>
      <w:lvlText w:val="%1."/>
      <w:lvlJc w:val="left"/>
      <w:pPr>
        <w:tabs>
          <w:tab w:val="left" w:pos="312"/>
        </w:tabs>
      </w:pPr>
    </w:lvl>
  </w:abstractNum>
  <w:abstractNum w:abstractNumId="4">
    <w:nsid w:val="8DFFA91D"/>
    <w:multiLevelType w:val="singleLevel"/>
    <w:tmpl w:val="8DFFA91D"/>
    <w:lvl w:ilvl="0" w:tentative="0">
      <w:start w:val="1"/>
      <w:numFmt w:val="decimal"/>
      <w:lvlText w:val="%1."/>
      <w:lvlJc w:val="left"/>
      <w:pPr>
        <w:tabs>
          <w:tab w:val="left" w:pos="312"/>
        </w:tabs>
      </w:pPr>
    </w:lvl>
  </w:abstractNum>
  <w:abstractNum w:abstractNumId="5">
    <w:nsid w:val="8E4504F8"/>
    <w:multiLevelType w:val="singleLevel"/>
    <w:tmpl w:val="8E4504F8"/>
    <w:lvl w:ilvl="0" w:tentative="0">
      <w:start w:val="1"/>
      <w:numFmt w:val="chineseCounting"/>
      <w:suff w:val="nothing"/>
      <w:lvlText w:val="%1、"/>
      <w:lvlJc w:val="left"/>
      <w:rPr>
        <w:rFonts w:hint="eastAsia"/>
      </w:rPr>
    </w:lvl>
  </w:abstractNum>
  <w:abstractNum w:abstractNumId="6">
    <w:nsid w:val="8E55772D"/>
    <w:multiLevelType w:val="singleLevel"/>
    <w:tmpl w:val="8E55772D"/>
    <w:lvl w:ilvl="0" w:tentative="0">
      <w:start w:val="1"/>
      <w:numFmt w:val="decimal"/>
      <w:lvlText w:val="%1."/>
      <w:lvlJc w:val="left"/>
      <w:pPr>
        <w:tabs>
          <w:tab w:val="left" w:pos="312"/>
        </w:tabs>
      </w:pPr>
    </w:lvl>
  </w:abstractNum>
  <w:abstractNum w:abstractNumId="7">
    <w:nsid w:val="8F234B5F"/>
    <w:multiLevelType w:val="singleLevel"/>
    <w:tmpl w:val="8F234B5F"/>
    <w:lvl w:ilvl="0" w:tentative="0">
      <w:start w:val="1"/>
      <w:numFmt w:val="chineseCounting"/>
      <w:suff w:val="space"/>
      <w:lvlText w:val="第%1章"/>
      <w:lvlJc w:val="left"/>
      <w:rPr>
        <w:rFonts w:hint="eastAsia"/>
      </w:rPr>
    </w:lvl>
  </w:abstractNum>
  <w:abstractNum w:abstractNumId="8">
    <w:nsid w:val="8F7C36D4"/>
    <w:multiLevelType w:val="singleLevel"/>
    <w:tmpl w:val="8F7C36D4"/>
    <w:lvl w:ilvl="0" w:tentative="0">
      <w:start w:val="1"/>
      <w:numFmt w:val="decimal"/>
      <w:lvlText w:val="%1."/>
      <w:lvlJc w:val="left"/>
      <w:pPr>
        <w:tabs>
          <w:tab w:val="left" w:pos="312"/>
        </w:tabs>
      </w:pPr>
    </w:lvl>
  </w:abstractNum>
  <w:abstractNum w:abstractNumId="9">
    <w:nsid w:val="8FB85A9B"/>
    <w:multiLevelType w:val="singleLevel"/>
    <w:tmpl w:val="8FB85A9B"/>
    <w:lvl w:ilvl="0" w:tentative="0">
      <w:start w:val="1"/>
      <w:numFmt w:val="decimal"/>
      <w:lvlText w:val="%1."/>
      <w:lvlJc w:val="left"/>
      <w:pPr>
        <w:tabs>
          <w:tab w:val="left" w:pos="312"/>
        </w:tabs>
      </w:pPr>
    </w:lvl>
  </w:abstractNum>
  <w:abstractNum w:abstractNumId="10">
    <w:nsid w:val="9063BB4A"/>
    <w:multiLevelType w:val="singleLevel"/>
    <w:tmpl w:val="9063BB4A"/>
    <w:lvl w:ilvl="0" w:tentative="0">
      <w:start w:val="1"/>
      <w:numFmt w:val="decimal"/>
      <w:lvlText w:val="%1."/>
      <w:lvlJc w:val="left"/>
      <w:pPr>
        <w:tabs>
          <w:tab w:val="left" w:pos="312"/>
        </w:tabs>
      </w:pPr>
    </w:lvl>
  </w:abstractNum>
  <w:abstractNum w:abstractNumId="11">
    <w:nsid w:val="90FA2AE5"/>
    <w:multiLevelType w:val="singleLevel"/>
    <w:tmpl w:val="90FA2AE5"/>
    <w:lvl w:ilvl="0" w:tentative="0">
      <w:start w:val="1"/>
      <w:numFmt w:val="decimal"/>
      <w:lvlText w:val="%1."/>
      <w:lvlJc w:val="left"/>
      <w:pPr>
        <w:tabs>
          <w:tab w:val="left" w:pos="312"/>
        </w:tabs>
      </w:pPr>
    </w:lvl>
  </w:abstractNum>
  <w:abstractNum w:abstractNumId="12">
    <w:nsid w:val="91522E5D"/>
    <w:multiLevelType w:val="singleLevel"/>
    <w:tmpl w:val="91522E5D"/>
    <w:lvl w:ilvl="0" w:tentative="0">
      <w:start w:val="1"/>
      <w:numFmt w:val="decimal"/>
      <w:suff w:val="nothing"/>
      <w:lvlText w:val="（%1）"/>
      <w:lvlJc w:val="left"/>
    </w:lvl>
  </w:abstractNum>
  <w:abstractNum w:abstractNumId="13">
    <w:nsid w:val="956F8EB5"/>
    <w:multiLevelType w:val="singleLevel"/>
    <w:tmpl w:val="956F8EB5"/>
    <w:lvl w:ilvl="0" w:tentative="0">
      <w:start w:val="1"/>
      <w:numFmt w:val="decimal"/>
      <w:lvlText w:val="%1."/>
      <w:lvlJc w:val="left"/>
      <w:pPr>
        <w:tabs>
          <w:tab w:val="left" w:pos="312"/>
        </w:tabs>
      </w:pPr>
    </w:lvl>
  </w:abstractNum>
  <w:abstractNum w:abstractNumId="14">
    <w:nsid w:val="9981A8E0"/>
    <w:multiLevelType w:val="singleLevel"/>
    <w:tmpl w:val="9981A8E0"/>
    <w:lvl w:ilvl="0" w:tentative="0">
      <w:start w:val="1"/>
      <w:numFmt w:val="decimal"/>
      <w:lvlText w:val="%1."/>
      <w:lvlJc w:val="left"/>
      <w:pPr>
        <w:tabs>
          <w:tab w:val="left" w:pos="312"/>
        </w:tabs>
      </w:pPr>
    </w:lvl>
  </w:abstractNum>
  <w:abstractNum w:abstractNumId="15">
    <w:nsid w:val="9FA9D00F"/>
    <w:multiLevelType w:val="singleLevel"/>
    <w:tmpl w:val="9FA9D00F"/>
    <w:lvl w:ilvl="0" w:tentative="0">
      <w:start w:val="2"/>
      <w:numFmt w:val="decimal"/>
      <w:suff w:val="nothing"/>
      <w:lvlText w:val="（%1）"/>
      <w:lvlJc w:val="left"/>
    </w:lvl>
  </w:abstractNum>
  <w:abstractNum w:abstractNumId="16">
    <w:nsid w:val="A605D446"/>
    <w:multiLevelType w:val="singleLevel"/>
    <w:tmpl w:val="A605D446"/>
    <w:lvl w:ilvl="0" w:tentative="0">
      <w:start w:val="1"/>
      <w:numFmt w:val="decimal"/>
      <w:lvlText w:val="%1."/>
      <w:lvlJc w:val="left"/>
      <w:pPr>
        <w:tabs>
          <w:tab w:val="left" w:pos="312"/>
        </w:tabs>
      </w:pPr>
    </w:lvl>
  </w:abstractNum>
  <w:abstractNum w:abstractNumId="17">
    <w:nsid w:val="ADB61CC8"/>
    <w:multiLevelType w:val="singleLevel"/>
    <w:tmpl w:val="ADB61CC8"/>
    <w:lvl w:ilvl="0" w:tentative="0">
      <w:start w:val="1"/>
      <w:numFmt w:val="decimal"/>
      <w:suff w:val="nothing"/>
      <w:lvlText w:val="（%1）"/>
      <w:lvlJc w:val="left"/>
    </w:lvl>
  </w:abstractNum>
  <w:abstractNum w:abstractNumId="18">
    <w:nsid w:val="B98AFE95"/>
    <w:multiLevelType w:val="singleLevel"/>
    <w:tmpl w:val="B98AFE95"/>
    <w:lvl w:ilvl="0" w:tentative="0">
      <w:start w:val="1"/>
      <w:numFmt w:val="chineseCounting"/>
      <w:suff w:val="nothing"/>
      <w:lvlText w:val="%1、"/>
      <w:lvlJc w:val="left"/>
      <w:rPr>
        <w:rFonts w:hint="eastAsia"/>
      </w:rPr>
    </w:lvl>
  </w:abstractNum>
  <w:abstractNum w:abstractNumId="19">
    <w:nsid w:val="BB21D8CB"/>
    <w:multiLevelType w:val="singleLevel"/>
    <w:tmpl w:val="BB21D8CB"/>
    <w:lvl w:ilvl="0" w:tentative="0">
      <w:start w:val="1"/>
      <w:numFmt w:val="decimal"/>
      <w:lvlText w:val="%1."/>
      <w:lvlJc w:val="left"/>
      <w:pPr>
        <w:tabs>
          <w:tab w:val="left" w:pos="312"/>
        </w:tabs>
      </w:pPr>
    </w:lvl>
  </w:abstractNum>
  <w:abstractNum w:abstractNumId="20">
    <w:nsid w:val="BBBC17F5"/>
    <w:multiLevelType w:val="singleLevel"/>
    <w:tmpl w:val="BBBC17F5"/>
    <w:lvl w:ilvl="0" w:tentative="0">
      <w:start w:val="1"/>
      <w:numFmt w:val="chineseCounting"/>
      <w:suff w:val="nothing"/>
      <w:lvlText w:val="（%1）"/>
      <w:lvlJc w:val="left"/>
      <w:rPr>
        <w:rFonts w:hint="eastAsia"/>
      </w:rPr>
    </w:lvl>
  </w:abstractNum>
  <w:abstractNum w:abstractNumId="21">
    <w:nsid w:val="BEF604C3"/>
    <w:multiLevelType w:val="singleLevel"/>
    <w:tmpl w:val="BEF604C3"/>
    <w:lvl w:ilvl="0" w:tentative="0">
      <w:start w:val="1"/>
      <w:numFmt w:val="decimal"/>
      <w:suff w:val="nothing"/>
      <w:lvlText w:val="（%1）"/>
      <w:lvlJc w:val="left"/>
    </w:lvl>
  </w:abstractNum>
  <w:abstractNum w:abstractNumId="22">
    <w:nsid w:val="BF8FFC08"/>
    <w:multiLevelType w:val="singleLevel"/>
    <w:tmpl w:val="BF8FFC08"/>
    <w:lvl w:ilvl="0" w:tentative="0">
      <w:start w:val="1"/>
      <w:numFmt w:val="decimal"/>
      <w:suff w:val="nothing"/>
      <w:lvlText w:val="（%1）"/>
      <w:lvlJc w:val="left"/>
    </w:lvl>
  </w:abstractNum>
  <w:abstractNum w:abstractNumId="23">
    <w:nsid w:val="C167C468"/>
    <w:multiLevelType w:val="singleLevel"/>
    <w:tmpl w:val="C167C468"/>
    <w:lvl w:ilvl="0" w:tentative="0">
      <w:start w:val="1"/>
      <w:numFmt w:val="chineseCounting"/>
      <w:suff w:val="space"/>
      <w:lvlText w:val="第%1条"/>
      <w:lvlJc w:val="left"/>
      <w:rPr>
        <w:rFonts w:hint="eastAsia"/>
      </w:rPr>
    </w:lvl>
  </w:abstractNum>
  <w:abstractNum w:abstractNumId="24">
    <w:nsid w:val="C2A474EB"/>
    <w:multiLevelType w:val="singleLevel"/>
    <w:tmpl w:val="C2A474EB"/>
    <w:lvl w:ilvl="0" w:tentative="0">
      <w:start w:val="1"/>
      <w:numFmt w:val="decimal"/>
      <w:lvlText w:val="%1."/>
      <w:lvlJc w:val="left"/>
      <w:pPr>
        <w:tabs>
          <w:tab w:val="left" w:pos="312"/>
        </w:tabs>
      </w:pPr>
    </w:lvl>
  </w:abstractNum>
  <w:abstractNum w:abstractNumId="25">
    <w:nsid w:val="C511468D"/>
    <w:multiLevelType w:val="singleLevel"/>
    <w:tmpl w:val="C511468D"/>
    <w:lvl w:ilvl="0" w:tentative="0">
      <w:start w:val="1"/>
      <w:numFmt w:val="chineseCounting"/>
      <w:suff w:val="nothing"/>
      <w:lvlText w:val="（%1）"/>
      <w:lvlJc w:val="left"/>
      <w:rPr>
        <w:rFonts w:hint="eastAsia"/>
      </w:rPr>
    </w:lvl>
  </w:abstractNum>
  <w:abstractNum w:abstractNumId="26">
    <w:nsid w:val="C6B20B94"/>
    <w:multiLevelType w:val="singleLevel"/>
    <w:tmpl w:val="C6B20B94"/>
    <w:lvl w:ilvl="0" w:tentative="0">
      <w:start w:val="1"/>
      <w:numFmt w:val="decimal"/>
      <w:lvlText w:val="%1."/>
      <w:lvlJc w:val="left"/>
      <w:pPr>
        <w:tabs>
          <w:tab w:val="left" w:pos="312"/>
        </w:tabs>
      </w:pPr>
    </w:lvl>
  </w:abstractNum>
  <w:abstractNum w:abstractNumId="27">
    <w:nsid w:val="CBBBCF10"/>
    <w:multiLevelType w:val="singleLevel"/>
    <w:tmpl w:val="CBBBCF10"/>
    <w:lvl w:ilvl="0" w:tentative="0">
      <w:start w:val="1"/>
      <w:numFmt w:val="chineseCounting"/>
      <w:suff w:val="nothing"/>
      <w:lvlText w:val="%1、"/>
      <w:lvlJc w:val="left"/>
      <w:rPr>
        <w:rFonts w:hint="eastAsia"/>
      </w:rPr>
    </w:lvl>
  </w:abstractNum>
  <w:abstractNum w:abstractNumId="28">
    <w:nsid w:val="CFB37147"/>
    <w:multiLevelType w:val="singleLevel"/>
    <w:tmpl w:val="CFB37147"/>
    <w:lvl w:ilvl="0" w:tentative="0">
      <w:start w:val="1"/>
      <w:numFmt w:val="chineseCounting"/>
      <w:suff w:val="nothing"/>
      <w:lvlText w:val="（%1）"/>
      <w:lvlJc w:val="left"/>
      <w:rPr>
        <w:rFonts w:hint="eastAsia"/>
      </w:rPr>
    </w:lvl>
  </w:abstractNum>
  <w:abstractNum w:abstractNumId="29">
    <w:nsid w:val="D0485D61"/>
    <w:multiLevelType w:val="singleLevel"/>
    <w:tmpl w:val="D0485D61"/>
    <w:lvl w:ilvl="0" w:tentative="0">
      <w:start w:val="11"/>
      <w:numFmt w:val="chineseCounting"/>
      <w:suff w:val="space"/>
      <w:lvlText w:val="%1、"/>
      <w:lvlJc w:val="left"/>
      <w:rPr>
        <w:rFonts w:hint="eastAsia"/>
      </w:rPr>
    </w:lvl>
  </w:abstractNum>
  <w:abstractNum w:abstractNumId="30">
    <w:nsid w:val="D35E238F"/>
    <w:multiLevelType w:val="singleLevel"/>
    <w:tmpl w:val="D35E238F"/>
    <w:lvl w:ilvl="0" w:tentative="0">
      <w:start w:val="1"/>
      <w:numFmt w:val="decimal"/>
      <w:suff w:val="nothing"/>
      <w:lvlText w:val="（%1）"/>
      <w:lvlJc w:val="left"/>
    </w:lvl>
  </w:abstractNum>
  <w:abstractNum w:abstractNumId="31">
    <w:nsid w:val="D7A5B7EF"/>
    <w:multiLevelType w:val="singleLevel"/>
    <w:tmpl w:val="D7A5B7EF"/>
    <w:lvl w:ilvl="0" w:tentative="0">
      <w:start w:val="1"/>
      <w:numFmt w:val="chineseCounting"/>
      <w:suff w:val="nothing"/>
      <w:lvlText w:val="%1、"/>
      <w:lvlJc w:val="left"/>
      <w:rPr>
        <w:rFonts w:hint="eastAsia"/>
      </w:rPr>
    </w:lvl>
  </w:abstractNum>
  <w:abstractNum w:abstractNumId="32">
    <w:nsid w:val="D8E1C7CC"/>
    <w:multiLevelType w:val="singleLevel"/>
    <w:tmpl w:val="D8E1C7CC"/>
    <w:lvl w:ilvl="0" w:tentative="0">
      <w:start w:val="1"/>
      <w:numFmt w:val="decimal"/>
      <w:lvlText w:val="%1."/>
      <w:lvlJc w:val="left"/>
      <w:pPr>
        <w:tabs>
          <w:tab w:val="left" w:pos="312"/>
        </w:tabs>
      </w:pPr>
    </w:lvl>
  </w:abstractNum>
  <w:abstractNum w:abstractNumId="33">
    <w:nsid w:val="DD863999"/>
    <w:multiLevelType w:val="singleLevel"/>
    <w:tmpl w:val="DD863999"/>
    <w:lvl w:ilvl="0" w:tentative="0">
      <w:start w:val="1"/>
      <w:numFmt w:val="chineseCounting"/>
      <w:lvlText w:val="(%1)"/>
      <w:lvlJc w:val="left"/>
      <w:pPr>
        <w:tabs>
          <w:tab w:val="left" w:pos="312"/>
        </w:tabs>
        <w:ind w:left="0" w:firstLine="0"/>
      </w:pPr>
    </w:lvl>
  </w:abstractNum>
  <w:abstractNum w:abstractNumId="34">
    <w:nsid w:val="E405BD3A"/>
    <w:multiLevelType w:val="singleLevel"/>
    <w:tmpl w:val="E405BD3A"/>
    <w:lvl w:ilvl="0" w:tentative="0">
      <w:start w:val="5"/>
      <w:numFmt w:val="chineseCounting"/>
      <w:suff w:val="space"/>
      <w:lvlText w:val="第%1章"/>
      <w:lvlJc w:val="left"/>
      <w:rPr>
        <w:rFonts w:hint="eastAsia"/>
      </w:rPr>
    </w:lvl>
  </w:abstractNum>
  <w:abstractNum w:abstractNumId="35">
    <w:nsid w:val="EAF49F89"/>
    <w:multiLevelType w:val="singleLevel"/>
    <w:tmpl w:val="EAF49F89"/>
    <w:lvl w:ilvl="0" w:tentative="0">
      <w:start w:val="1"/>
      <w:numFmt w:val="decimal"/>
      <w:lvlText w:val="%1."/>
      <w:lvlJc w:val="left"/>
      <w:pPr>
        <w:tabs>
          <w:tab w:val="left" w:pos="312"/>
        </w:tabs>
      </w:pPr>
    </w:lvl>
  </w:abstractNum>
  <w:abstractNum w:abstractNumId="36">
    <w:nsid w:val="EC6A5A72"/>
    <w:multiLevelType w:val="singleLevel"/>
    <w:tmpl w:val="EC6A5A72"/>
    <w:lvl w:ilvl="0" w:tentative="0">
      <w:start w:val="1"/>
      <w:numFmt w:val="decimal"/>
      <w:lvlText w:val="%1."/>
      <w:lvlJc w:val="left"/>
      <w:pPr>
        <w:tabs>
          <w:tab w:val="left" w:pos="312"/>
        </w:tabs>
      </w:pPr>
    </w:lvl>
  </w:abstractNum>
  <w:abstractNum w:abstractNumId="37">
    <w:nsid w:val="ECB0D397"/>
    <w:multiLevelType w:val="singleLevel"/>
    <w:tmpl w:val="ECB0D397"/>
    <w:lvl w:ilvl="0" w:tentative="0">
      <w:start w:val="1"/>
      <w:numFmt w:val="decimal"/>
      <w:lvlText w:val="%1."/>
      <w:lvlJc w:val="left"/>
      <w:pPr>
        <w:tabs>
          <w:tab w:val="left" w:pos="312"/>
        </w:tabs>
      </w:pPr>
    </w:lvl>
  </w:abstractNum>
  <w:abstractNum w:abstractNumId="38">
    <w:nsid w:val="ED1879FB"/>
    <w:multiLevelType w:val="singleLevel"/>
    <w:tmpl w:val="ED1879FB"/>
    <w:lvl w:ilvl="0" w:tentative="0">
      <w:start w:val="1"/>
      <w:numFmt w:val="chineseCounting"/>
      <w:suff w:val="nothing"/>
      <w:lvlText w:val="（%1）"/>
      <w:lvlJc w:val="left"/>
      <w:rPr>
        <w:rFonts w:hint="eastAsia"/>
      </w:rPr>
    </w:lvl>
  </w:abstractNum>
  <w:abstractNum w:abstractNumId="39">
    <w:nsid w:val="F552142F"/>
    <w:multiLevelType w:val="singleLevel"/>
    <w:tmpl w:val="F552142F"/>
    <w:lvl w:ilvl="0" w:tentative="0">
      <w:start w:val="1"/>
      <w:numFmt w:val="decimal"/>
      <w:lvlText w:val="%1."/>
      <w:lvlJc w:val="left"/>
      <w:pPr>
        <w:tabs>
          <w:tab w:val="left" w:pos="312"/>
        </w:tabs>
      </w:pPr>
    </w:lvl>
  </w:abstractNum>
  <w:abstractNum w:abstractNumId="40">
    <w:nsid w:val="F7D403E4"/>
    <w:multiLevelType w:val="singleLevel"/>
    <w:tmpl w:val="F7D403E4"/>
    <w:lvl w:ilvl="0" w:tentative="0">
      <w:start w:val="1"/>
      <w:numFmt w:val="decimal"/>
      <w:lvlText w:val="%1."/>
      <w:lvlJc w:val="left"/>
      <w:pPr>
        <w:tabs>
          <w:tab w:val="left" w:pos="312"/>
        </w:tabs>
      </w:pPr>
    </w:lvl>
  </w:abstractNum>
  <w:abstractNum w:abstractNumId="41">
    <w:nsid w:val="F860F336"/>
    <w:multiLevelType w:val="singleLevel"/>
    <w:tmpl w:val="F860F336"/>
    <w:lvl w:ilvl="0" w:tentative="0">
      <w:start w:val="1"/>
      <w:numFmt w:val="decimal"/>
      <w:lvlText w:val="%1."/>
      <w:lvlJc w:val="left"/>
      <w:pPr>
        <w:tabs>
          <w:tab w:val="left" w:pos="312"/>
        </w:tabs>
      </w:pPr>
    </w:lvl>
  </w:abstractNum>
  <w:abstractNum w:abstractNumId="42">
    <w:nsid w:val="F8FAF4BC"/>
    <w:multiLevelType w:val="singleLevel"/>
    <w:tmpl w:val="F8FAF4BC"/>
    <w:lvl w:ilvl="0" w:tentative="0">
      <w:start w:val="1"/>
      <w:numFmt w:val="decimal"/>
      <w:lvlText w:val="%1."/>
      <w:lvlJc w:val="left"/>
      <w:pPr>
        <w:tabs>
          <w:tab w:val="left" w:pos="312"/>
        </w:tabs>
      </w:pPr>
    </w:lvl>
  </w:abstractNum>
  <w:abstractNum w:abstractNumId="43">
    <w:nsid w:val="F9A6D731"/>
    <w:multiLevelType w:val="singleLevel"/>
    <w:tmpl w:val="F9A6D731"/>
    <w:lvl w:ilvl="0" w:tentative="0">
      <w:start w:val="1"/>
      <w:numFmt w:val="decimal"/>
      <w:lvlText w:val="%1."/>
      <w:lvlJc w:val="left"/>
      <w:pPr>
        <w:tabs>
          <w:tab w:val="left" w:pos="312"/>
        </w:tabs>
      </w:pPr>
    </w:lvl>
  </w:abstractNum>
  <w:abstractNum w:abstractNumId="44">
    <w:nsid w:val="F9D15F4F"/>
    <w:multiLevelType w:val="singleLevel"/>
    <w:tmpl w:val="F9D15F4F"/>
    <w:lvl w:ilvl="0" w:tentative="0">
      <w:start w:val="1"/>
      <w:numFmt w:val="decimal"/>
      <w:lvlText w:val="%1."/>
      <w:lvlJc w:val="left"/>
      <w:pPr>
        <w:tabs>
          <w:tab w:val="left" w:pos="312"/>
        </w:tabs>
      </w:pPr>
    </w:lvl>
  </w:abstractNum>
  <w:abstractNum w:abstractNumId="45">
    <w:nsid w:val="FBDA2667"/>
    <w:multiLevelType w:val="singleLevel"/>
    <w:tmpl w:val="FBDA2667"/>
    <w:lvl w:ilvl="0" w:tentative="0">
      <w:start w:val="1"/>
      <w:numFmt w:val="decimal"/>
      <w:lvlText w:val="%1."/>
      <w:lvlJc w:val="left"/>
      <w:pPr>
        <w:tabs>
          <w:tab w:val="left" w:pos="312"/>
        </w:tabs>
      </w:pPr>
      <w:rPr>
        <w:rFonts w:hint="default"/>
        <w:b w:val="0"/>
        <w:bCs w:val="0"/>
      </w:rPr>
    </w:lvl>
  </w:abstractNum>
  <w:abstractNum w:abstractNumId="46">
    <w:nsid w:val="FC6BFBAE"/>
    <w:multiLevelType w:val="singleLevel"/>
    <w:tmpl w:val="FC6BFBAE"/>
    <w:lvl w:ilvl="0" w:tentative="0">
      <w:start w:val="2"/>
      <w:numFmt w:val="chineseCounting"/>
      <w:suff w:val="nothing"/>
      <w:lvlText w:val="%1、"/>
      <w:lvlJc w:val="left"/>
      <w:rPr>
        <w:rFonts w:hint="eastAsia"/>
      </w:rPr>
    </w:lvl>
  </w:abstractNum>
  <w:abstractNum w:abstractNumId="47">
    <w:nsid w:val="FDFEDDA1"/>
    <w:multiLevelType w:val="singleLevel"/>
    <w:tmpl w:val="FDFEDDA1"/>
    <w:lvl w:ilvl="0" w:tentative="0">
      <w:start w:val="1"/>
      <w:numFmt w:val="decimal"/>
      <w:lvlText w:val="%1."/>
      <w:lvlJc w:val="left"/>
      <w:pPr>
        <w:tabs>
          <w:tab w:val="left" w:pos="312"/>
        </w:tabs>
      </w:pPr>
    </w:lvl>
  </w:abstractNum>
  <w:abstractNum w:abstractNumId="48">
    <w:nsid w:val="FFF8732C"/>
    <w:multiLevelType w:val="singleLevel"/>
    <w:tmpl w:val="FFF8732C"/>
    <w:lvl w:ilvl="0" w:tentative="0">
      <w:start w:val="1"/>
      <w:numFmt w:val="decimal"/>
      <w:lvlText w:val="%1."/>
      <w:lvlJc w:val="left"/>
      <w:pPr>
        <w:tabs>
          <w:tab w:val="left" w:pos="312"/>
        </w:tabs>
      </w:pPr>
    </w:lvl>
  </w:abstractNum>
  <w:abstractNum w:abstractNumId="49">
    <w:nsid w:val="028A6F88"/>
    <w:multiLevelType w:val="singleLevel"/>
    <w:tmpl w:val="028A6F88"/>
    <w:lvl w:ilvl="0" w:tentative="0">
      <w:start w:val="1"/>
      <w:numFmt w:val="decimal"/>
      <w:lvlText w:val="%1."/>
      <w:lvlJc w:val="left"/>
      <w:pPr>
        <w:tabs>
          <w:tab w:val="left" w:pos="312"/>
        </w:tabs>
      </w:pPr>
    </w:lvl>
  </w:abstractNum>
  <w:abstractNum w:abstractNumId="50">
    <w:nsid w:val="02EEBE08"/>
    <w:multiLevelType w:val="singleLevel"/>
    <w:tmpl w:val="02EEBE08"/>
    <w:lvl w:ilvl="0" w:tentative="0">
      <w:start w:val="1"/>
      <w:numFmt w:val="decimal"/>
      <w:lvlText w:val="%1."/>
      <w:lvlJc w:val="left"/>
      <w:pPr>
        <w:tabs>
          <w:tab w:val="left" w:pos="312"/>
        </w:tabs>
      </w:pPr>
    </w:lvl>
  </w:abstractNum>
  <w:abstractNum w:abstractNumId="51">
    <w:nsid w:val="06F89EC7"/>
    <w:multiLevelType w:val="singleLevel"/>
    <w:tmpl w:val="06F89EC7"/>
    <w:lvl w:ilvl="0" w:tentative="0">
      <w:start w:val="1"/>
      <w:numFmt w:val="decimal"/>
      <w:lvlText w:val="%1."/>
      <w:lvlJc w:val="left"/>
      <w:pPr>
        <w:tabs>
          <w:tab w:val="left" w:pos="312"/>
        </w:tabs>
      </w:pPr>
    </w:lvl>
  </w:abstractNum>
  <w:abstractNum w:abstractNumId="52">
    <w:nsid w:val="07546851"/>
    <w:multiLevelType w:val="singleLevel"/>
    <w:tmpl w:val="07546851"/>
    <w:lvl w:ilvl="0" w:tentative="0">
      <w:start w:val="1"/>
      <w:numFmt w:val="decimal"/>
      <w:lvlText w:val="%1."/>
      <w:lvlJc w:val="left"/>
      <w:pPr>
        <w:tabs>
          <w:tab w:val="left" w:pos="312"/>
        </w:tabs>
      </w:pPr>
    </w:lvl>
  </w:abstractNum>
  <w:abstractNum w:abstractNumId="53">
    <w:nsid w:val="084D1750"/>
    <w:multiLevelType w:val="singleLevel"/>
    <w:tmpl w:val="084D1750"/>
    <w:lvl w:ilvl="0" w:tentative="0">
      <w:start w:val="1"/>
      <w:numFmt w:val="chineseCounting"/>
      <w:suff w:val="nothing"/>
      <w:lvlText w:val="%1、"/>
      <w:lvlJc w:val="left"/>
      <w:rPr>
        <w:rFonts w:hint="eastAsia"/>
      </w:rPr>
    </w:lvl>
  </w:abstractNum>
  <w:abstractNum w:abstractNumId="54">
    <w:nsid w:val="09BD60B1"/>
    <w:multiLevelType w:val="singleLevel"/>
    <w:tmpl w:val="09BD60B1"/>
    <w:lvl w:ilvl="0" w:tentative="0">
      <w:start w:val="1"/>
      <w:numFmt w:val="decimal"/>
      <w:lvlText w:val="%1."/>
      <w:lvlJc w:val="left"/>
      <w:pPr>
        <w:tabs>
          <w:tab w:val="left" w:pos="312"/>
        </w:tabs>
      </w:pPr>
    </w:lvl>
  </w:abstractNum>
  <w:abstractNum w:abstractNumId="55">
    <w:nsid w:val="0AB926F5"/>
    <w:multiLevelType w:val="singleLevel"/>
    <w:tmpl w:val="0AB926F5"/>
    <w:lvl w:ilvl="0" w:tentative="0">
      <w:start w:val="1"/>
      <w:numFmt w:val="decimal"/>
      <w:lvlText w:val="%1."/>
      <w:lvlJc w:val="left"/>
      <w:pPr>
        <w:tabs>
          <w:tab w:val="left" w:pos="312"/>
        </w:tabs>
      </w:pPr>
    </w:lvl>
  </w:abstractNum>
  <w:abstractNum w:abstractNumId="56">
    <w:nsid w:val="0E78D92B"/>
    <w:multiLevelType w:val="singleLevel"/>
    <w:tmpl w:val="0E78D92B"/>
    <w:lvl w:ilvl="0" w:tentative="0">
      <w:start w:val="1"/>
      <w:numFmt w:val="decimal"/>
      <w:lvlText w:val="%1."/>
      <w:lvlJc w:val="left"/>
      <w:pPr>
        <w:tabs>
          <w:tab w:val="left" w:pos="312"/>
        </w:tabs>
      </w:pPr>
    </w:lvl>
  </w:abstractNum>
  <w:abstractNum w:abstractNumId="57">
    <w:nsid w:val="10B6A0C2"/>
    <w:multiLevelType w:val="singleLevel"/>
    <w:tmpl w:val="10B6A0C2"/>
    <w:lvl w:ilvl="0" w:tentative="0">
      <w:start w:val="8"/>
      <w:numFmt w:val="chineseCounting"/>
      <w:suff w:val="nothing"/>
      <w:lvlText w:val="%1、"/>
      <w:lvlJc w:val="left"/>
      <w:rPr>
        <w:rFonts w:hint="eastAsia"/>
      </w:rPr>
    </w:lvl>
  </w:abstractNum>
  <w:abstractNum w:abstractNumId="58">
    <w:nsid w:val="119C4376"/>
    <w:multiLevelType w:val="singleLevel"/>
    <w:tmpl w:val="119C4376"/>
    <w:lvl w:ilvl="0" w:tentative="0">
      <w:start w:val="1"/>
      <w:numFmt w:val="chineseCounting"/>
      <w:suff w:val="nothing"/>
      <w:lvlText w:val="%1、"/>
      <w:lvlJc w:val="left"/>
      <w:rPr>
        <w:rFonts w:hint="eastAsia"/>
      </w:rPr>
    </w:lvl>
  </w:abstractNum>
  <w:abstractNum w:abstractNumId="59">
    <w:nsid w:val="11B8265A"/>
    <w:multiLevelType w:val="singleLevel"/>
    <w:tmpl w:val="11B8265A"/>
    <w:lvl w:ilvl="0" w:tentative="0">
      <w:start w:val="1"/>
      <w:numFmt w:val="decimal"/>
      <w:lvlText w:val="%1."/>
      <w:lvlJc w:val="left"/>
      <w:pPr>
        <w:tabs>
          <w:tab w:val="left" w:pos="312"/>
        </w:tabs>
      </w:pPr>
    </w:lvl>
  </w:abstractNum>
  <w:abstractNum w:abstractNumId="60">
    <w:nsid w:val="1327C32D"/>
    <w:multiLevelType w:val="singleLevel"/>
    <w:tmpl w:val="1327C32D"/>
    <w:lvl w:ilvl="0" w:tentative="0">
      <w:start w:val="1"/>
      <w:numFmt w:val="decimal"/>
      <w:lvlText w:val="%1."/>
      <w:lvlJc w:val="left"/>
      <w:pPr>
        <w:tabs>
          <w:tab w:val="left" w:pos="312"/>
        </w:tabs>
      </w:pPr>
    </w:lvl>
  </w:abstractNum>
  <w:abstractNum w:abstractNumId="61">
    <w:nsid w:val="1418E20D"/>
    <w:multiLevelType w:val="singleLevel"/>
    <w:tmpl w:val="1418E20D"/>
    <w:lvl w:ilvl="0" w:tentative="0">
      <w:start w:val="1"/>
      <w:numFmt w:val="chineseCounting"/>
      <w:suff w:val="nothing"/>
      <w:lvlText w:val="（%1）"/>
      <w:lvlJc w:val="left"/>
      <w:rPr>
        <w:rFonts w:hint="eastAsia"/>
      </w:rPr>
    </w:lvl>
  </w:abstractNum>
  <w:abstractNum w:abstractNumId="62">
    <w:nsid w:val="1922273B"/>
    <w:multiLevelType w:val="singleLevel"/>
    <w:tmpl w:val="1922273B"/>
    <w:lvl w:ilvl="0" w:tentative="0">
      <w:start w:val="1"/>
      <w:numFmt w:val="decimal"/>
      <w:lvlText w:val="%1."/>
      <w:lvlJc w:val="left"/>
      <w:pPr>
        <w:tabs>
          <w:tab w:val="left" w:pos="312"/>
        </w:tabs>
      </w:pPr>
    </w:lvl>
  </w:abstractNum>
  <w:abstractNum w:abstractNumId="63">
    <w:nsid w:val="19D43D3F"/>
    <w:multiLevelType w:val="singleLevel"/>
    <w:tmpl w:val="19D43D3F"/>
    <w:lvl w:ilvl="0" w:tentative="0">
      <w:start w:val="1"/>
      <w:numFmt w:val="decimal"/>
      <w:lvlText w:val="%1."/>
      <w:lvlJc w:val="left"/>
      <w:pPr>
        <w:tabs>
          <w:tab w:val="left" w:pos="312"/>
        </w:tabs>
      </w:pPr>
    </w:lvl>
  </w:abstractNum>
  <w:abstractNum w:abstractNumId="64">
    <w:nsid w:val="1A4CF8F4"/>
    <w:multiLevelType w:val="singleLevel"/>
    <w:tmpl w:val="1A4CF8F4"/>
    <w:lvl w:ilvl="0" w:tentative="0">
      <w:start w:val="1"/>
      <w:numFmt w:val="chineseCounting"/>
      <w:suff w:val="nothing"/>
      <w:lvlText w:val="%1、"/>
      <w:lvlJc w:val="left"/>
      <w:rPr>
        <w:rFonts w:hint="eastAsia"/>
      </w:rPr>
    </w:lvl>
  </w:abstractNum>
  <w:abstractNum w:abstractNumId="65">
    <w:nsid w:val="1B3277DC"/>
    <w:multiLevelType w:val="singleLevel"/>
    <w:tmpl w:val="1B3277DC"/>
    <w:lvl w:ilvl="0" w:tentative="0">
      <w:start w:val="1"/>
      <w:numFmt w:val="decimal"/>
      <w:lvlText w:val="%1."/>
      <w:lvlJc w:val="left"/>
      <w:pPr>
        <w:tabs>
          <w:tab w:val="left" w:pos="312"/>
        </w:tabs>
      </w:pPr>
    </w:lvl>
  </w:abstractNum>
  <w:abstractNum w:abstractNumId="66">
    <w:nsid w:val="1CD2E260"/>
    <w:multiLevelType w:val="singleLevel"/>
    <w:tmpl w:val="1CD2E260"/>
    <w:lvl w:ilvl="0" w:tentative="0">
      <w:start w:val="1"/>
      <w:numFmt w:val="decimal"/>
      <w:lvlText w:val="%1."/>
      <w:lvlJc w:val="left"/>
      <w:pPr>
        <w:tabs>
          <w:tab w:val="left" w:pos="312"/>
        </w:tabs>
      </w:pPr>
    </w:lvl>
  </w:abstractNum>
  <w:abstractNum w:abstractNumId="67">
    <w:nsid w:val="1E72E68D"/>
    <w:multiLevelType w:val="singleLevel"/>
    <w:tmpl w:val="1E72E68D"/>
    <w:lvl w:ilvl="0" w:tentative="0">
      <w:start w:val="1"/>
      <w:numFmt w:val="chineseCounting"/>
      <w:suff w:val="nothing"/>
      <w:lvlText w:val="（%1）"/>
      <w:lvlJc w:val="left"/>
      <w:rPr>
        <w:rFonts w:hint="eastAsia"/>
      </w:rPr>
    </w:lvl>
  </w:abstractNum>
  <w:abstractNum w:abstractNumId="68">
    <w:nsid w:val="24AA7EA2"/>
    <w:multiLevelType w:val="singleLevel"/>
    <w:tmpl w:val="24AA7EA2"/>
    <w:lvl w:ilvl="0" w:tentative="0">
      <w:start w:val="1"/>
      <w:numFmt w:val="decimal"/>
      <w:suff w:val="nothing"/>
      <w:lvlText w:val="（%1）"/>
      <w:lvlJc w:val="left"/>
    </w:lvl>
  </w:abstractNum>
  <w:abstractNum w:abstractNumId="69">
    <w:nsid w:val="24FD7157"/>
    <w:multiLevelType w:val="singleLevel"/>
    <w:tmpl w:val="24FD7157"/>
    <w:lvl w:ilvl="0" w:tentative="0">
      <w:start w:val="1"/>
      <w:numFmt w:val="decimal"/>
      <w:lvlText w:val="%1."/>
      <w:lvlJc w:val="left"/>
      <w:pPr>
        <w:tabs>
          <w:tab w:val="left" w:pos="312"/>
        </w:tabs>
      </w:pPr>
    </w:lvl>
  </w:abstractNum>
  <w:abstractNum w:abstractNumId="70">
    <w:nsid w:val="2624B813"/>
    <w:multiLevelType w:val="singleLevel"/>
    <w:tmpl w:val="2624B813"/>
    <w:lvl w:ilvl="0" w:tentative="0">
      <w:start w:val="1"/>
      <w:numFmt w:val="decimal"/>
      <w:lvlText w:val="%1."/>
      <w:lvlJc w:val="left"/>
      <w:pPr>
        <w:tabs>
          <w:tab w:val="left" w:pos="312"/>
        </w:tabs>
      </w:pPr>
    </w:lvl>
  </w:abstractNum>
  <w:abstractNum w:abstractNumId="71">
    <w:nsid w:val="26FF793B"/>
    <w:multiLevelType w:val="singleLevel"/>
    <w:tmpl w:val="26FF793B"/>
    <w:lvl w:ilvl="0" w:tentative="0">
      <w:start w:val="1"/>
      <w:numFmt w:val="decimal"/>
      <w:lvlText w:val="%1."/>
      <w:lvlJc w:val="left"/>
      <w:pPr>
        <w:tabs>
          <w:tab w:val="left" w:pos="312"/>
        </w:tabs>
      </w:pPr>
    </w:lvl>
  </w:abstractNum>
  <w:abstractNum w:abstractNumId="72">
    <w:nsid w:val="2FDD4C41"/>
    <w:multiLevelType w:val="singleLevel"/>
    <w:tmpl w:val="2FDD4C41"/>
    <w:lvl w:ilvl="0" w:tentative="0">
      <w:start w:val="1"/>
      <w:numFmt w:val="chineseCounting"/>
      <w:suff w:val="nothing"/>
      <w:lvlText w:val="%1、"/>
      <w:lvlJc w:val="left"/>
      <w:pPr>
        <w:ind w:left="210"/>
      </w:pPr>
      <w:rPr>
        <w:rFonts w:hint="eastAsia"/>
      </w:rPr>
    </w:lvl>
  </w:abstractNum>
  <w:abstractNum w:abstractNumId="73">
    <w:nsid w:val="31DB156B"/>
    <w:multiLevelType w:val="singleLevel"/>
    <w:tmpl w:val="31DB156B"/>
    <w:lvl w:ilvl="0" w:tentative="0">
      <w:start w:val="1"/>
      <w:numFmt w:val="decimal"/>
      <w:lvlText w:val="%1."/>
      <w:lvlJc w:val="left"/>
      <w:pPr>
        <w:tabs>
          <w:tab w:val="left" w:pos="312"/>
        </w:tabs>
      </w:pPr>
    </w:lvl>
  </w:abstractNum>
  <w:abstractNum w:abstractNumId="74">
    <w:nsid w:val="346B70E7"/>
    <w:multiLevelType w:val="singleLevel"/>
    <w:tmpl w:val="346B70E7"/>
    <w:lvl w:ilvl="0" w:tentative="0">
      <w:start w:val="1"/>
      <w:numFmt w:val="decimal"/>
      <w:lvlText w:val="%1."/>
      <w:lvlJc w:val="left"/>
      <w:pPr>
        <w:tabs>
          <w:tab w:val="left" w:pos="312"/>
        </w:tabs>
      </w:pPr>
    </w:lvl>
  </w:abstractNum>
  <w:abstractNum w:abstractNumId="75">
    <w:nsid w:val="359C0F5B"/>
    <w:multiLevelType w:val="singleLevel"/>
    <w:tmpl w:val="359C0F5B"/>
    <w:lvl w:ilvl="0" w:tentative="0">
      <w:start w:val="2"/>
      <w:numFmt w:val="chineseCounting"/>
      <w:suff w:val="nothing"/>
      <w:lvlText w:val="%1、"/>
      <w:lvlJc w:val="left"/>
      <w:rPr>
        <w:rFonts w:hint="eastAsia"/>
      </w:rPr>
    </w:lvl>
  </w:abstractNum>
  <w:abstractNum w:abstractNumId="76">
    <w:nsid w:val="36A45F05"/>
    <w:multiLevelType w:val="multilevel"/>
    <w:tmpl w:val="36A45F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37A41483"/>
    <w:multiLevelType w:val="singleLevel"/>
    <w:tmpl w:val="37A41483"/>
    <w:lvl w:ilvl="0" w:tentative="0">
      <w:start w:val="1"/>
      <w:numFmt w:val="chineseCounting"/>
      <w:suff w:val="nothing"/>
      <w:lvlText w:val="（%1）"/>
      <w:lvlJc w:val="left"/>
      <w:rPr>
        <w:rFonts w:hint="eastAsia"/>
      </w:rPr>
    </w:lvl>
  </w:abstractNum>
  <w:abstractNum w:abstractNumId="78">
    <w:nsid w:val="399C4452"/>
    <w:multiLevelType w:val="multilevel"/>
    <w:tmpl w:val="399C4452"/>
    <w:lvl w:ilvl="0" w:tentative="0">
      <w:start w:val="1"/>
      <w:numFmt w:val="decimal"/>
      <w:lvlText w:val="%1."/>
      <w:lvlJc w:val="left"/>
      <w:pPr>
        <w:ind w:left="0" w:firstLine="0"/>
      </w:pPr>
      <w:rPr>
        <w:rFonts w:hint="eastAsia" w:ascii="宋体" w:hAnsi="宋体" w:eastAsia="宋体" w:cs="Times New Roman"/>
        <w:b w:val="0"/>
        <w:bCs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39B7622A"/>
    <w:multiLevelType w:val="singleLevel"/>
    <w:tmpl w:val="39B7622A"/>
    <w:lvl w:ilvl="0" w:tentative="0">
      <w:start w:val="1"/>
      <w:numFmt w:val="decimal"/>
      <w:lvlText w:val="%1."/>
      <w:lvlJc w:val="left"/>
      <w:pPr>
        <w:tabs>
          <w:tab w:val="left" w:pos="312"/>
        </w:tabs>
      </w:pPr>
    </w:lvl>
  </w:abstractNum>
  <w:abstractNum w:abstractNumId="80">
    <w:nsid w:val="3C11F462"/>
    <w:multiLevelType w:val="singleLevel"/>
    <w:tmpl w:val="3C11F462"/>
    <w:lvl w:ilvl="0" w:tentative="0">
      <w:start w:val="15"/>
      <w:numFmt w:val="chineseCounting"/>
      <w:suff w:val="space"/>
      <w:lvlText w:val="第%1条"/>
      <w:lvlJc w:val="left"/>
      <w:rPr>
        <w:rFonts w:hint="eastAsia"/>
      </w:rPr>
    </w:lvl>
  </w:abstractNum>
  <w:abstractNum w:abstractNumId="81">
    <w:nsid w:val="3C312010"/>
    <w:multiLevelType w:val="singleLevel"/>
    <w:tmpl w:val="3C312010"/>
    <w:lvl w:ilvl="0" w:tentative="0">
      <w:start w:val="1"/>
      <w:numFmt w:val="decimal"/>
      <w:lvlText w:val="%1."/>
      <w:lvlJc w:val="left"/>
      <w:pPr>
        <w:tabs>
          <w:tab w:val="left" w:pos="312"/>
        </w:tabs>
      </w:pPr>
    </w:lvl>
  </w:abstractNum>
  <w:abstractNum w:abstractNumId="82">
    <w:nsid w:val="3C6078FE"/>
    <w:multiLevelType w:val="multilevel"/>
    <w:tmpl w:val="3C6078FE"/>
    <w:lvl w:ilvl="0" w:tentative="0">
      <w:start w:val="1"/>
      <w:numFmt w:val="decimal"/>
      <w:lvlText w:val="%1."/>
      <w:lvlJc w:val="left"/>
      <w:pPr>
        <w:ind w:left="420" w:hanging="420"/>
      </w:pPr>
      <w:rPr>
        <w:rFonts w:hint="default"/>
        <w:b w:val="0"/>
        <w:bCs w:val="0"/>
        <w:sz w:val="16"/>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434436A2"/>
    <w:multiLevelType w:val="singleLevel"/>
    <w:tmpl w:val="434436A2"/>
    <w:lvl w:ilvl="0" w:tentative="0">
      <w:start w:val="1"/>
      <w:numFmt w:val="chineseCounting"/>
      <w:suff w:val="nothing"/>
      <w:lvlText w:val="%1、"/>
      <w:lvlJc w:val="left"/>
      <w:rPr>
        <w:rFonts w:hint="eastAsia"/>
      </w:rPr>
    </w:lvl>
  </w:abstractNum>
  <w:abstractNum w:abstractNumId="84">
    <w:nsid w:val="45D66CB3"/>
    <w:multiLevelType w:val="singleLevel"/>
    <w:tmpl w:val="45D66CB3"/>
    <w:lvl w:ilvl="0" w:tentative="0">
      <w:start w:val="1"/>
      <w:numFmt w:val="chineseCounting"/>
      <w:suff w:val="nothing"/>
      <w:lvlText w:val="（%1）"/>
      <w:lvlJc w:val="left"/>
      <w:rPr>
        <w:rFonts w:hint="eastAsia"/>
      </w:rPr>
    </w:lvl>
  </w:abstractNum>
  <w:abstractNum w:abstractNumId="85">
    <w:nsid w:val="4A87C1E0"/>
    <w:multiLevelType w:val="singleLevel"/>
    <w:tmpl w:val="4A87C1E0"/>
    <w:lvl w:ilvl="0" w:tentative="0">
      <w:start w:val="1"/>
      <w:numFmt w:val="chineseCounting"/>
      <w:suff w:val="nothing"/>
      <w:lvlText w:val="%1、"/>
      <w:lvlJc w:val="left"/>
      <w:rPr>
        <w:rFonts w:hint="eastAsia"/>
      </w:rPr>
    </w:lvl>
  </w:abstractNum>
  <w:abstractNum w:abstractNumId="86">
    <w:nsid w:val="4CBB7CB1"/>
    <w:multiLevelType w:val="singleLevel"/>
    <w:tmpl w:val="4CBB7CB1"/>
    <w:lvl w:ilvl="0" w:tentative="0">
      <w:start w:val="1"/>
      <w:numFmt w:val="decimal"/>
      <w:lvlText w:val="%1."/>
      <w:lvlJc w:val="left"/>
      <w:pPr>
        <w:tabs>
          <w:tab w:val="left" w:pos="312"/>
        </w:tabs>
      </w:pPr>
      <w:rPr>
        <w:rFonts w:hint="default"/>
        <w:b w:val="0"/>
        <w:bCs w:val="0"/>
      </w:rPr>
    </w:lvl>
  </w:abstractNum>
  <w:abstractNum w:abstractNumId="87">
    <w:nsid w:val="4DF6FA67"/>
    <w:multiLevelType w:val="singleLevel"/>
    <w:tmpl w:val="4DF6FA67"/>
    <w:lvl w:ilvl="0" w:tentative="0">
      <w:start w:val="1"/>
      <w:numFmt w:val="decimal"/>
      <w:lvlText w:val="%1."/>
      <w:lvlJc w:val="left"/>
      <w:pPr>
        <w:tabs>
          <w:tab w:val="left" w:pos="312"/>
        </w:tabs>
      </w:pPr>
    </w:lvl>
  </w:abstractNum>
  <w:abstractNum w:abstractNumId="88">
    <w:nsid w:val="563C79D4"/>
    <w:multiLevelType w:val="multilevel"/>
    <w:tmpl w:val="563C79D4"/>
    <w:lvl w:ilvl="0" w:tentative="0">
      <w:start w:val="1"/>
      <w:numFmt w:val="decimal"/>
      <w:lvlText w:val="%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57D7BA39"/>
    <w:multiLevelType w:val="singleLevel"/>
    <w:tmpl w:val="57D7BA39"/>
    <w:lvl w:ilvl="0" w:tentative="0">
      <w:start w:val="1"/>
      <w:numFmt w:val="chineseCounting"/>
      <w:suff w:val="nothing"/>
      <w:lvlText w:val="%1、"/>
      <w:lvlJc w:val="left"/>
      <w:rPr>
        <w:rFonts w:hint="eastAsia"/>
      </w:rPr>
    </w:lvl>
  </w:abstractNum>
  <w:abstractNum w:abstractNumId="90">
    <w:nsid w:val="58EEC0CC"/>
    <w:multiLevelType w:val="singleLevel"/>
    <w:tmpl w:val="58EEC0CC"/>
    <w:lvl w:ilvl="0" w:tentative="0">
      <w:start w:val="1"/>
      <w:numFmt w:val="chineseCounting"/>
      <w:suff w:val="nothing"/>
      <w:lvlText w:val="（%1）"/>
      <w:lvlJc w:val="left"/>
      <w:rPr>
        <w:rFonts w:hint="eastAsia"/>
      </w:rPr>
    </w:lvl>
  </w:abstractNum>
  <w:abstractNum w:abstractNumId="91">
    <w:nsid w:val="5A4D05AD"/>
    <w:multiLevelType w:val="singleLevel"/>
    <w:tmpl w:val="5A4D05AD"/>
    <w:lvl w:ilvl="0" w:tentative="0">
      <w:start w:val="1"/>
      <w:numFmt w:val="decimal"/>
      <w:lvlText w:val="%1."/>
      <w:lvlJc w:val="left"/>
      <w:pPr>
        <w:tabs>
          <w:tab w:val="left" w:pos="312"/>
        </w:tabs>
      </w:pPr>
    </w:lvl>
  </w:abstractNum>
  <w:abstractNum w:abstractNumId="92">
    <w:nsid w:val="5F998B99"/>
    <w:multiLevelType w:val="singleLevel"/>
    <w:tmpl w:val="5F998B99"/>
    <w:lvl w:ilvl="0" w:tentative="0">
      <w:start w:val="1"/>
      <w:numFmt w:val="decimal"/>
      <w:lvlText w:val="%1."/>
      <w:lvlJc w:val="left"/>
      <w:pPr>
        <w:tabs>
          <w:tab w:val="left" w:pos="312"/>
        </w:tabs>
      </w:pPr>
    </w:lvl>
  </w:abstractNum>
  <w:abstractNum w:abstractNumId="93">
    <w:nsid w:val="601B76CF"/>
    <w:multiLevelType w:val="singleLevel"/>
    <w:tmpl w:val="601B76CF"/>
    <w:lvl w:ilvl="0" w:tentative="0">
      <w:start w:val="1"/>
      <w:numFmt w:val="chineseCounting"/>
      <w:suff w:val="nothing"/>
      <w:lvlText w:val="%1、"/>
      <w:lvlJc w:val="left"/>
      <w:rPr>
        <w:rFonts w:hint="eastAsia"/>
      </w:rPr>
    </w:lvl>
  </w:abstractNum>
  <w:abstractNum w:abstractNumId="94">
    <w:nsid w:val="60A5D405"/>
    <w:multiLevelType w:val="singleLevel"/>
    <w:tmpl w:val="60A5D405"/>
    <w:lvl w:ilvl="0" w:tentative="0">
      <w:start w:val="1"/>
      <w:numFmt w:val="decimal"/>
      <w:lvlText w:val="%1."/>
      <w:lvlJc w:val="left"/>
      <w:pPr>
        <w:tabs>
          <w:tab w:val="left" w:pos="312"/>
        </w:tabs>
      </w:pPr>
    </w:lvl>
  </w:abstractNum>
  <w:abstractNum w:abstractNumId="95">
    <w:nsid w:val="643E4D9A"/>
    <w:multiLevelType w:val="singleLevel"/>
    <w:tmpl w:val="643E4D9A"/>
    <w:lvl w:ilvl="0" w:tentative="0">
      <w:start w:val="1"/>
      <w:numFmt w:val="decimal"/>
      <w:lvlText w:val="%1."/>
      <w:lvlJc w:val="left"/>
      <w:pPr>
        <w:tabs>
          <w:tab w:val="left" w:pos="312"/>
        </w:tabs>
      </w:pPr>
    </w:lvl>
  </w:abstractNum>
  <w:abstractNum w:abstractNumId="96">
    <w:nsid w:val="66E4F9A9"/>
    <w:multiLevelType w:val="singleLevel"/>
    <w:tmpl w:val="66E4F9A9"/>
    <w:lvl w:ilvl="0" w:tentative="0">
      <w:start w:val="1"/>
      <w:numFmt w:val="decimal"/>
      <w:lvlText w:val="%1."/>
      <w:lvlJc w:val="left"/>
      <w:pPr>
        <w:tabs>
          <w:tab w:val="left" w:pos="312"/>
        </w:tabs>
      </w:pPr>
    </w:lvl>
  </w:abstractNum>
  <w:abstractNum w:abstractNumId="97">
    <w:nsid w:val="68ACB698"/>
    <w:multiLevelType w:val="singleLevel"/>
    <w:tmpl w:val="68ACB698"/>
    <w:lvl w:ilvl="0" w:tentative="0">
      <w:start w:val="1"/>
      <w:numFmt w:val="decimal"/>
      <w:lvlText w:val="%1."/>
      <w:lvlJc w:val="left"/>
      <w:pPr>
        <w:tabs>
          <w:tab w:val="left" w:pos="312"/>
        </w:tabs>
      </w:pPr>
    </w:lvl>
  </w:abstractNum>
  <w:abstractNum w:abstractNumId="98">
    <w:nsid w:val="69DC9613"/>
    <w:multiLevelType w:val="singleLevel"/>
    <w:tmpl w:val="69DC9613"/>
    <w:lvl w:ilvl="0" w:tentative="0">
      <w:start w:val="1"/>
      <w:numFmt w:val="decimal"/>
      <w:lvlText w:val="%1."/>
      <w:lvlJc w:val="left"/>
      <w:pPr>
        <w:tabs>
          <w:tab w:val="left" w:pos="312"/>
        </w:tabs>
      </w:pPr>
    </w:lvl>
  </w:abstractNum>
  <w:abstractNum w:abstractNumId="99">
    <w:nsid w:val="6A742476"/>
    <w:multiLevelType w:val="singleLevel"/>
    <w:tmpl w:val="6A742476"/>
    <w:lvl w:ilvl="0" w:tentative="0">
      <w:start w:val="1"/>
      <w:numFmt w:val="decimal"/>
      <w:suff w:val="nothing"/>
      <w:lvlText w:val="（%1）"/>
      <w:lvlJc w:val="left"/>
    </w:lvl>
  </w:abstractNum>
  <w:abstractNum w:abstractNumId="100">
    <w:nsid w:val="6A7DE995"/>
    <w:multiLevelType w:val="singleLevel"/>
    <w:tmpl w:val="6A7DE995"/>
    <w:lvl w:ilvl="0" w:tentative="0">
      <w:start w:val="1"/>
      <w:numFmt w:val="decimal"/>
      <w:lvlText w:val="%1."/>
      <w:lvlJc w:val="left"/>
      <w:pPr>
        <w:tabs>
          <w:tab w:val="left" w:pos="312"/>
        </w:tabs>
      </w:pPr>
    </w:lvl>
  </w:abstractNum>
  <w:abstractNum w:abstractNumId="101">
    <w:nsid w:val="6A8AEB84"/>
    <w:multiLevelType w:val="singleLevel"/>
    <w:tmpl w:val="6A8AEB84"/>
    <w:lvl w:ilvl="0" w:tentative="0">
      <w:start w:val="1"/>
      <w:numFmt w:val="decimal"/>
      <w:lvlText w:val="%1."/>
      <w:lvlJc w:val="left"/>
      <w:pPr>
        <w:tabs>
          <w:tab w:val="left" w:pos="312"/>
        </w:tabs>
      </w:pPr>
    </w:lvl>
  </w:abstractNum>
  <w:abstractNum w:abstractNumId="102">
    <w:nsid w:val="6BF92D3B"/>
    <w:multiLevelType w:val="singleLevel"/>
    <w:tmpl w:val="6BF92D3B"/>
    <w:lvl w:ilvl="0" w:tentative="0">
      <w:start w:val="1"/>
      <w:numFmt w:val="decimal"/>
      <w:suff w:val="nothing"/>
      <w:lvlText w:val="（%1）"/>
      <w:lvlJc w:val="left"/>
    </w:lvl>
  </w:abstractNum>
  <w:abstractNum w:abstractNumId="103">
    <w:nsid w:val="6F8EAC82"/>
    <w:multiLevelType w:val="singleLevel"/>
    <w:tmpl w:val="6F8EAC82"/>
    <w:lvl w:ilvl="0" w:tentative="0">
      <w:start w:val="1"/>
      <w:numFmt w:val="chineseCounting"/>
      <w:suff w:val="nothing"/>
      <w:lvlText w:val="（%1）"/>
      <w:lvlJc w:val="left"/>
      <w:rPr>
        <w:rFonts w:hint="eastAsia"/>
      </w:rPr>
    </w:lvl>
  </w:abstractNum>
  <w:abstractNum w:abstractNumId="104">
    <w:nsid w:val="6FBC093C"/>
    <w:multiLevelType w:val="singleLevel"/>
    <w:tmpl w:val="6FBC093C"/>
    <w:lvl w:ilvl="0" w:tentative="0">
      <w:start w:val="1"/>
      <w:numFmt w:val="decimal"/>
      <w:lvlText w:val="%1."/>
      <w:lvlJc w:val="left"/>
      <w:pPr>
        <w:tabs>
          <w:tab w:val="left" w:pos="312"/>
        </w:tabs>
      </w:pPr>
    </w:lvl>
  </w:abstractNum>
  <w:abstractNum w:abstractNumId="105">
    <w:nsid w:val="73BF0398"/>
    <w:multiLevelType w:val="singleLevel"/>
    <w:tmpl w:val="73BF0398"/>
    <w:lvl w:ilvl="0" w:tentative="0">
      <w:start w:val="1"/>
      <w:numFmt w:val="chineseCounting"/>
      <w:suff w:val="nothing"/>
      <w:lvlText w:val="（%1）"/>
      <w:lvlJc w:val="left"/>
      <w:rPr>
        <w:rFonts w:hint="eastAsia"/>
      </w:rPr>
    </w:lvl>
  </w:abstractNum>
  <w:abstractNum w:abstractNumId="106">
    <w:nsid w:val="776369B8"/>
    <w:multiLevelType w:val="multilevel"/>
    <w:tmpl w:val="776369B8"/>
    <w:lvl w:ilvl="0" w:tentative="0">
      <w:start w:val="1"/>
      <w:numFmt w:val="decimal"/>
      <w:lvlText w:val="%1."/>
      <w:lvlJc w:val="left"/>
      <w:pPr>
        <w:ind w:left="2688" w:hanging="420"/>
      </w:pPr>
      <w:rPr>
        <w:rFonts w:hint="default"/>
        <w:b w:val="0"/>
        <w:bCs w:val="0"/>
        <w:sz w:val="15"/>
        <w:szCs w:val="15"/>
      </w:rPr>
    </w:lvl>
    <w:lvl w:ilvl="1" w:tentative="0">
      <w:start w:val="1"/>
      <w:numFmt w:val="lowerLetter"/>
      <w:lvlText w:val="%2)"/>
      <w:lvlJc w:val="left"/>
      <w:pPr>
        <w:ind w:left="3108" w:hanging="420"/>
      </w:pPr>
    </w:lvl>
    <w:lvl w:ilvl="2" w:tentative="0">
      <w:start w:val="1"/>
      <w:numFmt w:val="lowerRoman"/>
      <w:lvlText w:val="%3."/>
      <w:lvlJc w:val="right"/>
      <w:pPr>
        <w:ind w:left="3528" w:hanging="420"/>
      </w:pPr>
    </w:lvl>
    <w:lvl w:ilvl="3" w:tentative="0">
      <w:start w:val="1"/>
      <w:numFmt w:val="decimal"/>
      <w:lvlText w:val="%4."/>
      <w:lvlJc w:val="left"/>
      <w:pPr>
        <w:ind w:left="3948" w:hanging="420"/>
      </w:pPr>
    </w:lvl>
    <w:lvl w:ilvl="4" w:tentative="0">
      <w:start w:val="1"/>
      <w:numFmt w:val="lowerLetter"/>
      <w:lvlText w:val="%5)"/>
      <w:lvlJc w:val="left"/>
      <w:pPr>
        <w:ind w:left="4368" w:hanging="420"/>
      </w:pPr>
    </w:lvl>
    <w:lvl w:ilvl="5" w:tentative="0">
      <w:start w:val="1"/>
      <w:numFmt w:val="lowerRoman"/>
      <w:lvlText w:val="%6."/>
      <w:lvlJc w:val="right"/>
      <w:pPr>
        <w:ind w:left="4788" w:hanging="420"/>
      </w:pPr>
    </w:lvl>
    <w:lvl w:ilvl="6" w:tentative="0">
      <w:start w:val="1"/>
      <w:numFmt w:val="decimal"/>
      <w:lvlText w:val="%7."/>
      <w:lvlJc w:val="left"/>
      <w:pPr>
        <w:ind w:left="5208" w:hanging="420"/>
      </w:pPr>
    </w:lvl>
    <w:lvl w:ilvl="7" w:tentative="0">
      <w:start w:val="1"/>
      <w:numFmt w:val="lowerLetter"/>
      <w:lvlText w:val="%8)"/>
      <w:lvlJc w:val="left"/>
      <w:pPr>
        <w:ind w:left="5628" w:hanging="420"/>
      </w:pPr>
    </w:lvl>
    <w:lvl w:ilvl="8" w:tentative="0">
      <w:start w:val="1"/>
      <w:numFmt w:val="lowerRoman"/>
      <w:lvlText w:val="%9."/>
      <w:lvlJc w:val="right"/>
      <w:pPr>
        <w:ind w:left="6048" w:hanging="420"/>
      </w:pPr>
    </w:lvl>
  </w:abstractNum>
  <w:abstractNum w:abstractNumId="107">
    <w:nsid w:val="7ABEBF28"/>
    <w:multiLevelType w:val="singleLevel"/>
    <w:tmpl w:val="7ABEBF28"/>
    <w:lvl w:ilvl="0" w:tentative="0">
      <w:start w:val="1"/>
      <w:numFmt w:val="decimal"/>
      <w:lvlText w:val="%1."/>
      <w:lvlJc w:val="left"/>
      <w:pPr>
        <w:tabs>
          <w:tab w:val="left" w:pos="312"/>
        </w:tabs>
      </w:pPr>
    </w:lvl>
  </w:abstractNum>
  <w:abstractNum w:abstractNumId="108">
    <w:nsid w:val="7AF6ABD9"/>
    <w:multiLevelType w:val="singleLevel"/>
    <w:tmpl w:val="7AF6ABD9"/>
    <w:lvl w:ilvl="0" w:tentative="0">
      <w:start w:val="1"/>
      <w:numFmt w:val="decimal"/>
      <w:lvlText w:val="%1."/>
      <w:lvlJc w:val="left"/>
      <w:pPr>
        <w:tabs>
          <w:tab w:val="left" w:pos="312"/>
        </w:tabs>
      </w:pPr>
    </w:lvl>
  </w:abstractNum>
  <w:abstractNum w:abstractNumId="109">
    <w:nsid w:val="7B1B331E"/>
    <w:multiLevelType w:val="singleLevel"/>
    <w:tmpl w:val="7B1B331E"/>
    <w:lvl w:ilvl="0" w:tentative="0">
      <w:start w:val="1"/>
      <w:numFmt w:val="decimal"/>
      <w:lvlText w:val="%1."/>
      <w:lvlJc w:val="left"/>
      <w:pPr>
        <w:tabs>
          <w:tab w:val="left" w:pos="312"/>
        </w:tabs>
      </w:pPr>
    </w:lvl>
  </w:abstractNum>
  <w:num w:numId="1">
    <w:abstractNumId w:val="17"/>
  </w:num>
  <w:num w:numId="2">
    <w:abstractNumId w:val="22"/>
  </w:num>
  <w:num w:numId="3">
    <w:abstractNumId w:val="23"/>
  </w:num>
  <w:num w:numId="4">
    <w:abstractNumId w:val="105"/>
  </w:num>
  <w:num w:numId="5">
    <w:abstractNumId w:val="25"/>
  </w:num>
  <w:num w:numId="6">
    <w:abstractNumId w:val="98"/>
  </w:num>
  <w:num w:numId="7">
    <w:abstractNumId w:val="1"/>
  </w:num>
  <w:num w:numId="8">
    <w:abstractNumId w:val="38"/>
  </w:num>
  <w:num w:numId="9">
    <w:abstractNumId w:val="80"/>
  </w:num>
  <w:num w:numId="10">
    <w:abstractNumId w:val="46"/>
  </w:num>
  <w:num w:numId="11">
    <w:abstractNumId w:val="84"/>
  </w:num>
  <w:num w:numId="12">
    <w:abstractNumId w:val="15"/>
  </w:num>
  <w:num w:numId="13">
    <w:abstractNumId w:val="30"/>
  </w:num>
  <w:num w:numId="14">
    <w:abstractNumId w:val="67"/>
  </w:num>
  <w:num w:numId="15">
    <w:abstractNumId w:val="103"/>
  </w:num>
  <w:num w:numId="16">
    <w:abstractNumId w:val="90"/>
  </w:num>
  <w:num w:numId="17">
    <w:abstractNumId w:val="20"/>
  </w:num>
  <w:num w:numId="18">
    <w:abstractNumId w:val="93"/>
  </w:num>
  <w:num w:numId="19">
    <w:abstractNumId w:val="28"/>
  </w:num>
  <w:num w:numId="20">
    <w:abstractNumId w:val="57"/>
  </w:num>
  <w:num w:numId="21">
    <w:abstractNumId w:val="33"/>
    <w:lvlOverride w:ilvl="0">
      <w:startOverride w:val="1"/>
    </w:lvlOverride>
  </w:num>
  <w:num w:numId="22">
    <w:abstractNumId w:val="29"/>
  </w:num>
  <w:num w:numId="23">
    <w:abstractNumId w:val="75"/>
  </w:num>
  <w:num w:numId="24">
    <w:abstractNumId w:val="94"/>
  </w:num>
  <w:num w:numId="25">
    <w:abstractNumId w:val="32"/>
  </w:num>
  <w:num w:numId="26">
    <w:abstractNumId w:val="0"/>
  </w:num>
  <w:num w:numId="27">
    <w:abstractNumId w:val="54"/>
  </w:num>
  <w:num w:numId="28">
    <w:abstractNumId w:val="86"/>
  </w:num>
  <w:num w:numId="29">
    <w:abstractNumId w:val="89"/>
  </w:num>
  <w:num w:numId="30">
    <w:abstractNumId w:val="109"/>
  </w:num>
  <w:num w:numId="31">
    <w:abstractNumId w:val="11"/>
  </w:num>
  <w:num w:numId="32">
    <w:abstractNumId w:val="92"/>
  </w:num>
  <w:num w:numId="33">
    <w:abstractNumId w:val="5"/>
  </w:num>
  <w:num w:numId="34">
    <w:abstractNumId w:val="74"/>
  </w:num>
  <w:num w:numId="35">
    <w:abstractNumId w:val="70"/>
  </w:num>
  <w:num w:numId="36">
    <w:abstractNumId w:val="9"/>
  </w:num>
  <w:num w:numId="37">
    <w:abstractNumId w:val="91"/>
  </w:num>
  <w:num w:numId="38">
    <w:abstractNumId w:val="83"/>
  </w:num>
  <w:num w:numId="39">
    <w:abstractNumId w:val="106"/>
  </w:num>
  <w:num w:numId="40">
    <w:abstractNumId w:val="76"/>
  </w:num>
  <w:num w:numId="41">
    <w:abstractNumId w:val="55"/>
  </w:num>
  <w:num w:numId="42">
    <w:abstractNumId w:val="78"/>
  </w:num>
  <w:num w:numId="43">
    <w:abstractNumId w:val="58"/>
  </w:num>
  <w:num w:numId="44">
    <w:abstractNumId w:val="63"/>
  </w:num>
  <w:num w:numId="45">
    <w:abstractNumId w:val="42"/>
  </w:num>
  <w:num w:numId="46">
    <w:abstractNumId w:val="44"/>
  </w:num>
  <w:num w:numId="47">
    <w:abstractNumId w:val="3"/>
  </w:num>
  <w:num w:numId="48">
    <w:abstractNumId w:val="18"/>
  </w:num>
  <w:num w:numId="49">
    <w:abstractNumId w:val="43"/>
  </w:num>
  <w:num w:numId="50">
    <w:abstractNumId w:val="13"/>
  </w:num>
  <w:num w:numId="51">
    <w:abstractNumId w:val="100"/>
  </w:num>
  <w:num w:numId="52">
    <w:abstractNumId w:val="31"/>
  </w:num>
  <w:num w:numId="53">
    <w:abstractNumId w:val="26"/>
  </w:num>
  <w:num w:numId="54">
    <w:abstractNumId w:val="49"/>
  </w:num>
  <w:num w:numId="55">
    <w:abstractNumId w:val="73"/>
  </w:num>
  <w:num w:numId="56">
    <w:abstractNumId w:val="56"/>
  </w:num>
  <w:num w:numId="57">
    <w:abstractNumId w:val="96"/>
  </w:num>
  <w:num w:numId="58">
    <w:abstractNumId w:val="37"/>
  </w:num>
  <w:num w:numId="59">
    <w:abstractNumId w:val="104"/>
  </w:num>
  <w:num w:numId="60">
    <w:abstractNumId w:val="40"/>
  </w:num>
  <w:num w:numId="61">
    <w:abstractNumId w:val="66"/>
  </w:num>
  <w:num w:numId="62">
    <w:abstractNumId w:val="19"/>
  </w:num>
  <w:num w:numId="63">
    <w:abstractNumId w:val="85"/>
  </w:num>
  <w:num w:numId="64">
    <w:abstractNumId w:val="36"/>
  </w:num>
  <w:num w:numId="65">
    <w:abstractNumId w:val="82"/>
  </w:num>
  <w:num w:numId="66">
    <w:abstractNumId w:val="62"/>
  </w:num>
  <w:num w:numId="67">
    <w:abstractNumId w:val="60"/>
  </w:num>
  <w:num w:numId="68">
    <w:abstractNumId w:val="4"/>
  </w:num>
  <w:num w:numId="69">
    <w:abstractNumId w:val="51"/>
  </w:num>
  <w:num w:numId="70">
    <w:abstractNumId w:val="53"/>
  </w:num>
  <w:num w:numId="71">
    <w:abstractNumId w:val="50"/>
  </w:num>
  <w:num w:numId="72">
    <w:abstractNumId w:val="52"/>
  </w:num>
  <w:num w:numId="73">
    <w:abstractNumId w:val="27"/>
  </w:num>
  <w:num w:numId="74">
    <w:abstractNumId w:val="81"/>
  </w:num>
  <w:num w:numId="75">
    <w:abstractNumId w:val="65"/>
  </w:num>
  <w:num w:numId="76">
    <w:abstractNumId w:val="69"/>
  </w:num>
  <w:num w:numId="77">
    <w:abstractNumId w:val="71"/>
  </w:num>
  <w:num w:numId="78">
    <w:abstractNumId w:val="87"/>
  </w:num>
  <w:num w:numId="79">
    <w:abstractNumId w:val="2"/>
  </w:num>
  <w:num w:numId="80">
    <w:abstractNumId w:val="39"/>
  </w:num>
  <w:num w:numId="81">
    <w:abstractNumId w:val="97"/>
  </w:num>
  <w:num w:numId="82">
    <w:abstractNumId w:val="35"/>
  </w:num>
  <w:num w:numId="83">
    <w:abstractNumId w:val="48"/>
  </w:num>
  <w:num w:numId="84">
    <w:abstractNumId w:val="24"/>
  </w:num>
  <w:num w:numId="85">
    <w:abstractNumId w:val="95"/>
  </w:num>
  <w:num w:numId="86">
    <w:abstractNumId w:val="79"/>
  </w:num>
  <w:num w:numId="87">
    <w:abstractNumId w:val="14"/>
  </w:num>
  <w:num w:numId="88">
    <w:abstractNumId w:val="88"/>
  </w:num>
  <w:num w:numId="89">
    <w:abstractNumId w:val="59"/>
  </w:num>
  <w:num w:numId="90">
    <w:abstractNumId w:val="64"/>
  </w:num>
  <w:num w:numId="91">
    <w:abstractNumId w:val="61"/>
  </w:num>
  <w:num w:numId="92">
    <w:abstractNumId w:val="77"/>
  </w:num>
  <w:num w:numId="93">
    <w:abstractNumId w:val="10"/>
  </w:num>
  <w:num w:numId="94">
    <w:abstractNumId w:val="99"/>
  </w:num>
  <w:num w:numId="95">
    <w:abstractNumId w:val="21"/>
  </w:num>
  <w:num w:numId="96">
    <w:abstractNumId w:val="12"/>
  </w:num>
  <w:num w:numId="97">
    <w:abstractNumId w:val="68"/>
  </w:num>
  <w:num w:numId="98">
    <w:abstractNumId w:val="102"/>
  </w:num>
  <w:num w:numId="99">
    <w:abstractNumId w:val="7"/>
  </w:num>
  <w:num w:numId="100">
    <w:abstractNumId w:val="34"/>
  </w:num>
  <w:num w:numId="101">
    <w:abstractNumId w:val="101"/>
  </w:num>
  <w:num w:numId="102">
    <w:abstractNumId w:val="45"/>
  </w:num>
  <w:num w:numId="103">
    <w:abstractNumId w:val="8"/>
  </w:num>
  <w:num w:numId="104">
    <w:abstractNumId w:val="6"/>
  </w:num>
  <w:num w:numId="105">
    <w:abstractNumId w:val="41"/>
  </w:num>
  <w:num w:numId="106">
    <w:abstractNumId w:val="72"/>
  </w:num>
  <w:num w:numId="107">
    <w:abstractNumId w:val="107"/>
  </w:num>
  <w:num w:numId="108">
    <w:abstractNumId w:val="108"/>
  </w:num>
  <w:num w:numId="109">
    <w:abstractNumId w:val="47"/>
  </w:num>
  <w:num w:numId="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MzQ2NDU2MTEwZjhkMGExOTU1MzU5NDZkYjdhNTMifQ=="/>
  </w:docVars>
  <w:rsids>
    <w:rsidRoot w:val="3CA57306"/>
    <w:rsid w:val="283325BD"/>
    <w:rsid w:val="2A691F16"/>
    <w:rsid w:val="2FDB4EC1"/>
    <w:rsid w:val="379D3A66"/>
    <w:rsid w:val="3CA57306"/>
    <w:rsid w:val="479B659A"/>
    <w:rsid w:val="517F7502"/>
    <w:rsid w:val="53C47D96"/>
    <w:rsid w:val="66DC6D4D"/>
    <w:rsid w:val="69DC3E40"/>
    <w:rsid w:val="78CE266B"/>
    <w:rsid w:val="7BFF5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spacing w:line="580" w:lineRule="exact"/>
      <w:ind w:firstLine="420" w:firstLineChars="200"/>
    </w:pPr>
    <w:rPr>
      <w:rFonts w:ascii="仿宋" w:hAnsi="仿宋" w:eastAsia="仿宋"/>
      <w:sz w:val="33"/>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Body text|1"/>
    <w:basedOn w:val="1"/>
    <w:qFormat/>
    <w:uiPriority w:val="0"/>
    <w:pPr>
      <w:spacing w:line="480" w:lineRule="auto"/>
    </w:pPr>
    <w:rPr>
      <w:rFonts w:ascii="宋体" w:hAnsi="宋体" w:eastAsia="宋体" w:cs="宋体"/>
      <w:color w:val="6C7680"/>
      <w:sz w:val="20"/>
      <w:szCs w:val="20"/>
      <w:lang w:val="zh-TW" w:eastAsia="zh-TW" w:bidi="zh-TW"/>
    </w:rPr>
  </w:style>
  <w:style w:type="paragraph" w:customStyle="1" w:styleId="14">
    <w:name w:val="表格文字"/>
    <w:basedOn w:val="15"/>
    <w:qFormat/>
    <w:uiPriority w:val="0"/>
    <w:pPr>
      <w:spacing w:before="25" w:after="25"/>
      <w:jc w:val="left"/>
    </w:pPr>
    <w:rPr>
      <w:bCs/>
      <w:spacing w:val="10"/>
      <w:kern w:val="0"/>
      <w:sz w:val="24"/>
    </w:rPr>
  </w:style>
  <w:style w:type="paragraph" w:customStyle="1" w:styleId="15">
    <w:name w:val="正文 New New"/>
    <w:next w:val="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Normal Indent1"/>
    <w:basedOn w:val="1"/>
    <w:qFormat/>
    <w:uiPriority w:val="0"/>
    <w:pPr>
      <w:widowControl/>
      <w:spacing w:line="360" w:lineRule="auto"/>
      <w:ind w:firstLine="420"/>
      <w:jc w:val="left"/>
    </w:pPr>
    <w:rPr>
      <w:rFonts w:ascii="宋体" w:hAnsi="Times New Roman" w:eastAsia="宋体" w:cs="Times New Roman"/>
      <w:kern w:val="0"/>
      <w:sz w:val="20"/>
      <w:szCs w:val="20"/>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130</Pages>
  <Words>61886</Words>
  <Characters>63413</Characters>
  <Lines>0</Lines>
  <Paragraphs>0</Paragraphs>
  <TotalTime>10</TotalTime>
  <ScaleCrop>false</ScaleCrop>
  <LinksUpToDate>false</LinksUpToDate>
  <CharactersWithSpaces>63540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2023-07-28T12:17:00Z</dcterms:created>
  <dc:creator>国晟招标</dc:creator>
  <cp:lastModifiedBy>国晟招标</cp:lastModifiedBy>
  <dcterms:modified xsi:type="dcterms:W3CDTF">2023-08-07T10:47:24Z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7060F2C3D6D540A9BBF3C1244AE7EA01_13</vt:lpwstr>
  </property>
</Properties>
</file>