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DEE10"/>
    <w:p w14:paraId="78357B92">
      <w:pPr>
        <w:pStyle w:val="9"/>
        <w:spacing w:before="0" w:after="0" w:line="600" w:lineRule="exact"/>
        <w:rPr>
          <w:rFonts w:ascii="方正小标宋简体" w:hAnsi="方正小标宋简体" w:eastAsia="方正小标宋简体"/>
          <w:b w:val="0"/>
          <w:sz w:val="36"/>
        </w:rPr>
      </w:pPr>
      <w:r>
        <w:rPr>
          <w:rFonts w:hint="eastAsia" w:ascii="方正小标宋简体" w:hAnsi="方正小标宋简体" w:eastAsia="方正小标宋简体"/>
          <w:b w:val="0"/>
          <w:sz w:val="36"/>
        </w:rPr>
        <w:t>奥体中心</w:t>
      </w:r>
      <w:r>
        <w:rPr>
          <w:rFonts w:hint="eastAsia" w:ascii="方正小标宋简体" w:hAnsi="方正小标宋简体" w:eastAsia="方正小标宋简体"/>
          <w:b w:val="0"/>
          <w:sz w:val="36"/>
          <w:lang w:val="en-US" w:eastAsia="zh-CN"/>
        </w:rPr>
        <w:t>安</w:t>
      </w:r>
      <w:r>
        <w:rPr>
          <w:rFonts w:hint="eastAsia" w:ascii="方正小标宋简体" w:hAnsi="方正小标宋简体" w:eastAsia="方正小标宋简体"/>
          <w:b w:val="0"/>
          <w:sz w:val="36"/>
        </w:rPr>
        <w:t>保服务</w:t>
      </w:r>
      <w:r>
        <w:rPr>
          <w:rFonts w:ascii="方正小标宋简体" w:hAnsi="方正小标宋简体" w:eastAsia="方正小标宋简体"/>
          <w:b w:val="0"/>
          <w:sz w:val="36"/>
        </w:rPr>
        <w:t>用户需求</w:t>
      </w:r>
    </w:p>
    <w:p w14:paraId="06945B80"/>
    <w:p w14:paraId="210383E0">
      <w:pPr>
        <w:ind w:firstLine="560" w:firstLineChars="200"/>
        <w:rPr>
          <w:rFonts w:ascii="黑体" w:hAnsi="黑体" w:eastAsia="黑体"/>
          <w:sz w:val="28"/>
        </w:rPr>
      </w:pPr>
      <w:r>
        <w:rPr>
          <w:rFonts w:ascii="黑体" w:hAnsi="黑体" w:eastAsia="黑体"/>
          <w:sz w:val="28"/>
        </w:rPr>
        <w:t>一、招标名称</w:t>
      </w:r>
    </w:p>
    <w:p w14:paraId="3364D718">
      <w:pPr>
        <w:spacing w:line="360" w:lineRule="auto"/>
        <w:ind w:firstLine="420" w:firstLineChars="200"/>
        <w:rPr>
          <w:rFonts w:hint="eastAsia"/>
          <w:lang w:eastAsia="zh-CN"/>
        </w:rPr>
      </w:pPr>
      <w:r>
        <w:rPr>
          <w:rFonts w:hint="eastAsia"/>
        </w:rPr>
        <w:t>（一）标的名称：</w:t>
      </w:r>
      <w:r>
        <w:t>202</w:t>
      </w:r>
      <w:r>
        <w:rPr>
          <w:rFonts w:hint="eastAsia"/>
          <w:lang w:val="en-US" w:eastAsia="zh-CN"/>
        </w:rPr>
        <w:t>6</w:t>
      </w:r>
      <w:r>
        <w:t>-202</w:t>
      </w:r>
      <w:r>
        <w:rPr>
          <w:rFonts w:hint="eastAsia"/>
          <w:lang w:val="en-US" w:eastAsia="zh-CN"/>
        </w:rPr>
        <w:t>8</w:t>
      </w:r>
      <w:r>
        <w:t>年</w:t>
      </w:r>
      <w:r>
        <w:rPr>
          <w:rFonts w:hint="eastAsia"/>
        </w:rPr>
        <w:t>奥体中心</w:t>
      </w:r>
      <w:r>
        <w:rPr>
          <w:rFonts w:hint="eastAsia"/>
          <w:lang w:eastAsia="zh-CN"/>
        </w:rPr>
        <w:t>安保</w:t>
      </w:r>
      <w:r>
        <w:rPr>
          <w:rFonts w:hint="eastAsia"/>
        </w:rPr>
        <w:t>服务</w:t>
      </w:r>
      <w:r>
        <w:t>采购项目</w:t>
      </w:r>
    </w:p>
    <w:p w14:paraId="27D09AF9">
      <w:pPr>
        <w:spacing w:line="360" w:lineRule="auto"/>
        <w:ind w:firstLine="420" w:firstLineChars="200"/>
        <w:rPr>
          <w:rFonts w:hint="default" w:eastAsiaTheme="minorEastAsia"/>
          <w:lang w:val="en-US"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标的提供地点：广州市天河区大观南路36号</w:t>
      </w:r>
    </w:p>
    <w:p w14:paraId="4CF18F89">
      <w:pPr>
        <w:spacing w:line="360" w:lineRule="auto"/>
        <w:ind w:firstLine="420" w:firstLineChars="200"/>
      </w:pPr>
      <w:r>
        <w:t>（</w:t>
      </w:r>
      <w:r>
        <w:rPr>
          <w:rFonts w:hint="eastAsia"/>
          <w:lang w:val="en-US" w:eastAsia="zh-CN"/>
        </w:rPr>
        <w:t>三</w:t>
      </w:r>
      <w:r>
        <w:t>）</w:t>
      </w:r>
      <w:r>
        <w:rPr>
          <w:rFonts w:hint="eastAsia"/>
        </w:rPr>
        <w:t>服务</w:t>
      </w:r>
      <w:r>
        <w:t>期限：</w:t>
      </w:r>
      <w:r>
        <w:rPr>
          <w:rFonts w:hint="eastAsia"/>
        </w:rPr>
        <w:t>自合同签订之日起算两年。签订合同后至少提前</w:t>
      </w:r>
      <w:r>
        <w:rPr>
          <w:rFonts w:hint="eastAsia"/>
          <w:lang w:val="en-US" w:eastAsia="zh-CN"/>
        </w:rPr>
        <w:t>5</w:t>
      </w:r>
      <w:r>
        <w:rPr>
          <w:rFonts w:hint="eastAsia"/>
        </w:rPr>
        <w:t>个工作日进场熟悉工作，并于合同签订之日正式进场开展工作。</w:t>
      </w:r>
    </w:p>
    <w:p w14:paraId="0EBC30EB">
      <w:pPr>
        <w:spacing w:line="360" w:lineRule="auto"/>
        <w:ind w:firstLine="420" w:firstLineChars="200"/>
        <w:rPr>
          <w:rFonts w:hint="eastAsia"/>
        </w:rPr>
      </w:pPr>
      <w:r>
        <w:t>（</w:t>
      </w:r>
      <w:r>
        <w:rPr>
          <w:rFonts w:hint="eastAsia"/>
          <w:lang w:val="en-US" w:eastAsia="zh-CN"/>
        </w:rPr>
        <w:t>四</w:t>
      </w:r>
      <w:r>
        <w:t>）</w:t>
      </w:r>
      <w:r>
        <w:rPr>
          <w:bCs/>
        </w:rPr>
        <w:t>预算金额</w:t>
      </w:r>
      <w:r>
        <w:t>：最高限价</w:t>
      </w:r>
      <w:r>
        <w:rPr>
          <w:rFonts w:hint="eastAsia"/>
          <w:lang w:val="en-US" w:eastAsia="zh-CN"/>
        </w:rPr>
        <w:t>1278</w:t>
      </w:r>
      <w:r>
        <w:t>万</w:t>
      </w:r>
      <w:r>
        <w:rPr>
          <w:rFonts w:hint="eastAsia"/>
          <w:lang w:val="en-US" w:eastAsia="zh-CN"/>
        </w:rPr>
        <w:t>元，其中常规服务预算金额最高1239.6万元，大型活动临时增派安保预算最高38.4万元</w:t>
      </w:r>
      <w:r>
        <w:t>。</w:t>
      </w:r>
      <w:r>
        <w:rPr>
          <w:rFonts w:hint="eastAsia"/>
        </w:rPr>
        <w:t>报价包括但不限于服务人员全部费用、个人防护用品、通讯工具及完成该项目所必需的</w:t>
      </w:r>
      <w:r>
        <w:rPr>
          <w:rFonts w:hint="eastAsia"/>
          <w:lang w:val="en-US" w:eastAsia="zh-CN"/>
        </w:rPr>
        <w:t>其他</w:t>
      </w:r>
      <w:r>
        <w:rPr>
          <w:rFonts w:hint="eastAsia"/>
        </w:rPr>
        <w:t>工具器械或材料，以及合理利润、管理费、一切税费等招标文件要求的所有费用。</w:t>
      </w:r>
    </w:p>
    <w:p w14:paraId="399EDC90">
      <w:pPr>
        <w:spacing w:line="360" w:lineRule="auto"/>
        <w:ind w:firstLine="420" w:firstLineChars="200"/>
        <w:rPr>
          <w:rFonts w:hint="eastAsia"/>
          <w:lang w:val="en-US" w:eastAsia="zh-CN"/>
        </w:rPr>
      </w:pPr>
      <w:r>
        <w:rPr>
          <w:rFonts w:hint="eastAsia"/>
          <w:lang w:eastAsia="zh-CN"/>
        </w:rPr>
        <w:t>（</w:t>
      </w:r>
      <w:r>
        <w:rPr>
          <w:rFonts w:hint="eastAsia"/>
          <w:lang w:val="en-US" w:eastAsia="zh-CN"/>
        </w:rPr>
        <w:t>五</w:t>
      </w:r>
      <w:r>
        <w:rPr>
          <w:rFonts w:hint="eastAsia"/>
          <w:lang w:eastAsia="zh-CN"/>
        </w:rPr>
        <w:t>）</w:t>
      </w:r>
      <w:r>
        <w:rPr>
          <w:rFonts w:hint="eastAsia"/>
          <w:lang w:val="en-US" w:eastAsia="zh-CN"/>
        </w:rPr>
        <w:t>付款方式：签订合同，服务费按月结算。根据实际派驻服务人员数量、考核结果浮动支付，当月服务费应在次月10日前进行结算并支付。服务期内每月支付常规服务金额的4.17%，最后一个月支付剩余应付常规服务费用；大型活动临时增派安保服务费应按照活动实际增派情况另行据实按月结算。同时，签订合同后，招标人自收到投标人增值税专用发票后15个工作日内向投标人支付合同总金额的10%作为预付款。结算时优先从预付款的金额抵扣，若首期的应付款项不够抵扣预付款时，则累计至下一期，直至预付款全部抵扣完成。</w:t>
      </w:r>
    </w:p>
    <w:p w14:paraId="48985FD1">
      <w:pPr>
        <w:spacing w:line="360" w:lineRule="auto"/>
        <w:ind w:firstLine="420" w:firstLineChars="200"/>
        <w:rPr>
          <w:rFonts w:hint="default" w:eastAsiaTheme="minorEastAsia"/>
          <w:lang w:val="en-US" w:eastAsia="zh-CN"/>
        </w:rPr>
      </w:pPr>
      <w:r>
        <w:rPr>
          <w:rFonts w:hint="eastAsia"/>
          <w:lang w:val="en-US" w:eastAsia="zh-CN"/>
        </w:rPr>
        <w:t>（六）履约保证金：签订合同后30个工作日内，按合同总价的3%，以支票、转账或履约保函的非现金形式向招标人提交履约保证金。</w:t>
      </w:r>
    </w:p>
    <w:p w14:paraId="79AA0E07">
      <w:pPr>
        <w:ind w:firstLine="560" w:firstLineChars="200"/>
        <w:rPr>
          <w:rFonts w:ascii="黑体" w:hAnsi="黑体" w:eastAsia="黑体"/>
        </w:rPr>
      </w:pPr>
      <w:r>
        <w:rPr>
          <w:rFonts w:ascii="黑体" w:hAnsi="黑体" w:eastAsia="黑体"/>
          <w:sz w:val="28"/>
        </w:rPr>
        <w:t>二、</w:t>
      </w:r>
      <w:r>
        <w:rPr>
          <w:rFonts w:hint="eastAsia" w:ascii="黑体" w:hAnsi="黑体" w:eastAsia="黑体"/>
          <w:sz w:val="28"/>
        </w:rPr>
        <w:t>奥体</w:t>
      </w:r>
      <w:r>
        <w:rPr>
          <w:rFonts w:ascii="黑体" w:hAnsi="黑体" w:eastAsia="黑体"/>
          <w:sz w:val="28"/>
        </w:rPr>
        <w:t>中心基本概况</w:t>
      </w:r>
    </w:p>
    <w:p w14:paraId="27C20076">
      <w:pPr>
        <w:spacing w:line="360" w:lineRule="auto"/>
        <w:ind w:firstLine="641"/>
      </w:pPr>
      <w:r>
        <w:rPr>
          <w:rFonts w:hint="eastAsia"/>
        </w:rPr>
        <w:t>广东省奥林匹克体育中心</w:t>
      </w:r>
      <w:r>
        <w:rPr>
          <w:rFonts w:hint="eastAsia"/>
          <w:lang w:eastAsia="zh-CN"/>
        </w:rPr>
        <w:t>（</w:t>
      </w:r>
      <w:r>
        <w:rPr>
          <w:rFonts w:hint="eastAsia"/>
          <w:lang w:val="en-US" w:eastAsia="zh-CN"/>
        </w:rPr>
        <w:t>以下简称奥体中心</w:t>
      </w:r>
      <w:r>
        <w:rPr>
          <w:rFonts w:hint="eastAsia"/>
          <w:lang w:eastAsia="zh-CN"/>
        </w:rPr>
        <w:t>）</w:t>
      </w:r>
      <w:r>
        <w:rPr>
          <w:rFonts w:hint="eastAsia"/>
        </w:rPr>
        <w:t>位于广州市天河区黄村街大观南路36号，始建于2001年，占地约60万平方米，</w:t>
      </w:r>
      <w:r>
        <w:rPr>
          <w:rFonts w:hint="eastAsia"/>
          <w:lang w:val="en-US" w:eastAsia="zh-CN"/>
        </w:rPr>
        <w:t>于2025年完成升级改造。</w:t>
      </w:r>
      <w:r>
        <w:rPr>
          <w:rFonts w:hint="eastAsia"/>
        </w:rPr>
        <w:t>目前已建有体育场、游泳跳水馆、网球中心</w:t>
      </w:r>
      <w:r>
        <w:rPr>
          <w:rFonts w:hint="eastAsia"/>
          <w:lang w:eastAsia="zh-CN"/>
        </w:rPr>
        <w:t>、</w:t>
      </w:r>
      <w:r>
        <w:rPr>
          <w:rFonts w:hint="eastAsia"/>
          <w:lang w:val="en-US" w:eastAsia="zh-CN"/>
        </w:rPr>
        <w:t>赛事运行指挥中心、驿站</w:t>
      </w:r>
      <w:r>
        <w:rPr>
          <w:rFonts w:hint="eastAsia"/>
        </w:rPr>
        <w:t>等运动场馆和体育设施</w:t>
      </w:r>
      <w:r>
        <w:rPr>
          <w:rFonts w:hint="eastAsia"/>
          <w:lang w:eastAsia="zh-CN"/>
        </w:rPr>
        <w:t>，</w:t>
      </w:r>
      <w:r>
        <w:rPr>
          <w:rFonts w:hint="eastAsia"/>
          <w:lang w:val="en-US" w:eastAsia="zh-CN"/>
        </w:rPr>
        <w:t>2025年，奥体中心体育场于作为</w:t>
      </w:r>
      <w:r>
        <w:rPr>
          <w:rFonts w:hint="eastAsia"/>
        </w:rPr>
        <w:t>第十五届全国运动会开幕式场馆和田径赛事场馆，游泳跳水馆将作为跳水、水球赛事场馆。</w:t>
      </w:r>
    </w:p>
    <w:p w14:paraId="17F2105A">
      <w:pPr>
        <w:spacing w:line="360" w:lineRule="auto"/>
        <w:ind w:firstLine="641"/>
      </w:pPr>
      <w:r>
        <w:rPr>
          <w:rFonts w:hint="eastAsia"/>
        </w:rPr>
        <w:t>本次奥体中心</w:t>
      </w:r>
      <w:r>
        <w:rPr>
          <w:rFonts w:hint="eastAsia"/>
          <w:lang w:val="en-US" w:eastAsia="zh-CN"/>
        </w:rPr>
        <w:t>安保</w:t>
      </w:r>
      <w:r>
        <w:rPr>
          <w:rFonts w:hint="eastAsia"/>
        </w:rPr>
        <w:t>服务范围包括体育场</w:t>
      </w:r>
      <w:r>
        <w:rPr>
          <w:rFonts w:hint="eastAsia"/>
          <w:lang w:eastAsia="zh-CN"/>
        </w:rPr>
        <w:t>（</w:t>
      </w:r>
      <w:r>
        <w:rPr>
          <w:rFonts w:hint="eastAsia"/>
          <w:lang w:val="en-US" w:eastAsia="zh-CN"/>
        </w:rPr>
        <w:t>含文化交流中心、赛事运行指挥中心</w:t>
      </w:r>
      <w:r>
        <w:rPr>
          <w:rFonts w:hint="eastAsia"/>
          <w:lang w:eastAsia="zh-CN"/>
        </w:rPr>
        <w:t>）</w:t>
      </w:r>
      <w:r>
        <w:rPr>
          <w:rFonts w:hint="eastAsia"/>
        </w:rPr>
        <w:t>、游泳跳水馆、网球中心</w:t>
      </w:r>
      <w:r>
        <w:rPr>
          <w:rFonts w:hint="eastAsia"/>
          <w:lang w:val="en-US" w:eastAsia="zh-CN"/>
        </w:rPr>
        <w:t>共</w:t>
      </w:r>
      <w:r>
        <w:rPr>
          <w:rFonts w:hint="eastAsia"/>
        </w:rPr>
        <w:t>三个</w:t>
      </w:r>
      <w:r>
        <w:rPr>
          <w:rFonts w:hint="eastAsia"/>
          <w:lang w:val="en-US" w:eastAsia="zh-CN"/>
        </w:rPr>
        <w:t>主要</w:t>
      </w:r>
      <w:r>
        <w:rPr>
          <w:rFonts w:hint="eastAsia"/>
        </w:rPr>
        <w:t>场馆</w:t>
      </w:r>
      <w:r>
        <w:rPr>
          <w:rFonts w:hint="eastAsia"/>
          <w:lang w:val="en-US" w:eastAsia="zh-CN"/>
        </w:rPr>
        <w:t>及五环广场、智慧体育公园、七人制足球场、停车场地等其它</w:t>
      </w:r>
      <w:r>
        <w:rPr>
          <w:rFonts w:hint="eastAsia"/>
        </w:rPr>
        <w:t>场地设施，场馆建筑基本情况如下：</w:t>
      </w:r>
    </w:p>
    <w:p w14:paraId="04823D23">
      <w:pPr>
        <w:spacing w:line="360" w:lineRule="auto"/>
        <w:ind w:firstLine="641"/>
        <w:rPr>
          <w:b/>
        </w:rPr>
      </w:pPr>
      <w:r>
        <w:rPr>
          <w:b/>
        </w:rPr>
        <w:t>（一）</w:t>
      </w:r>
      <w:r>
        <w:rPr>
          <w:rFonts w:hint="eastAsia"/>
          <w:b/>
        </w:rPr>
        <w:t>广东奥林匹克</w:t>
      </w:r>
      <w:r>
        <w:rPr>
          <w:b/>
        </w:rPr>
        <w:t>体育场</w:t>
      </w:r>
    </w:p>
    <w:p w14:paraId="3534BD7A">
      <w:pPr>
        <w:spacing w:line="360" w:lineRule="auto"/>
        <w:ind w:firstLine="641"/>
      </w:pPr>
      <w:r>
        <w:rPr>
          <w:rFonts w:hint="eastAsia"/>
        </w:rPr>
        <w:t>广东奥林匹克体育场（以下简称体育场）位于奥体中心南部，于2001年9月建成，占地30万平方米，建筑面积16.8万平方米，可容纳观众80000人。其主建筑耐用年限50年，防火等级二级，抗震设防类别为丙级、7度抗震，安全结构等级二级。体育场包含四栋独立建筑：主体育场、副体育场、体育文化交流中心，</w:t>
      </w:r>
      <w:r>
        <w:rPr>
          <w:rFonts w:hint="eastAsia"/>
          <w:lang w:val="en-US" w:eastAsia="zh-CN"/>
        </w:rPr>
        <w:t>赛事运行指挥中心</w:t>
      </w:r>
      <w:r>
        <w:rPr>
          <w:rFonts w:hint="eastAsia"/>
        </w:rPr>
        <w:t>。其中主体育场为地下一层、地面六层的椭圆形建筑；副体育场配置了管理用房和高压站；体育文化交流中心为地下一层、地面七层建筑；</w:t>
      </w:r>
      <w:r>
        <w:rPr>
          <w:rFonts w:hint="eastAsia"/>
          <w:lang w:val="en-US" w:eastAsia="zh-CN"/>
        </w:rPr>
        <w:t>赛事运行指挥中心</w:t>
      </w:r>
      <w:r>
        <w:rPr>
          <w:rFonts w:hint="eastAsia"/>
        </w:rPr>
        <w:t>为新建建筑，建筑面积8000平方米。</w:t>
      </w:r>
    </w:p>
    <w:p w14:paraId="7C334EA5">
      <w:pPr>
        <w:spacing w:line="360" w:lineRule="auto"/>
        <w:ind w:firstLine="641"/>
      </w:pPr>
      <w:r>
        <w:rPr>
          <w:rFonts w:hint="eastAsia"/>
        </w:rPr>
        <w:t>体育场</w:t>
      </w:r>
      <w:r>
        <w:rPr>
          <w:rFonts w:hint="eastAsia"/>
          <w:lang w:val="en-US" w:eastAsia="zh-CN"/>
        </w:rPr>
        <w:t>已于2025年完成</w:t>
      </w:r>
      <w:r>
        <w:rPr>
          <w:rFonts w:hint="eastAsia"/>
        </w:rPr>
        <w:t>十五运会场馆升级改造工程，涉及消防系统改造，其中体育文化交流中心在改造期间正常运营。体育场消防控制室</w:t>
      </w:r>
      <w:r>
        <w:rPr>
          <w:rFonts w:hint="eastAsia"/>
          <w:lang w:eastAsia="zh-CN"/>
        </w:rPr>
        <w:t>（</w:t>
      </w:r>
      <w:r>
        <w:rPr>
          <w:rFonts w:hint="eastAsia"/>
          <w:lang w:val="en-US" w:eastAsia="zh-CN"/>
        </w:rPr>
        <w:t>总控中心</w:t>
      </w:r>
      <w:r>
        <w:rPr>
          <w:rFonts w:hint="eastAsia"/>
          <w:lang w:eastAsia="zh-CN"/>
        </w:rPr>
        <w:t>）</w:t>
      </w:r>
      <w:r>
        <w:rPr>
          <w:rFonts w:hint="eastAsia"/>
        </w:rPr>
        <w:t>位于主体育场首层西侧，设有火灾自动报警系统、</w:t>
      </w:r>
      <w:r>
        <w:rPr>
          <w:rFonts w:hint="eastAsia"/>
          <w:lang w:val="en-US" w:eastAsia="zh-CN"/>
        </w:rPr>
        <w:t>电气火灾监测</w:t>
      </w:r>
      <w:r>
        <w:rPr>
          <w:rFonts w:hint="eastAsia"/>
        </w:rPr>
        <w:t>报警系统、燃气报警系统、消防广播系统、视频监控系统、电梯六方通话系统、智慧场馆平台等系统。</w:t>
      </w:r>
    </w:p>
    <w:p w14:paraId="3A323791">
      <w:pPr>
        <w:spacing w:line="360" w:lineRule="auto"/>
        <w:ind w:firstLine="641"/>
        <w:rPr>
          <w:b/>
        </w:rPr>
      </w:pPr>
      <w:r>
        <w:rPr>
          <w:b/>
        </w:rPr>
        <w:t>（二）</w:t>
      </w:r>
      <w:r>
        <w:rPr>
          <w:rFonts w:hint="eastAsia"/>
          <w:b/>
        </w:rPr>
        <w:t>广东奥林匹克游泳跳水馆</w:t>
      </w:r>
    </w:p>
    <w:p w14:paraId="072497ED">
      <w:pPr>
        <w:spacing w:line="360" w:lineRule="auto"/>
        <w:ind w:firstLine="641"/>
      </w:pPr>
      <w:r>
        <w:rPr>
          <w:rFonts w:hint="eastAsia"/>
        </w:rPr>
        <w:t>广东奥林匹克游泳跳水馆（以下简称游泳跳水馆）总建筑面积33331平方米，主要由游泳馆、室外相关附属设施、露天停车场、道路、广场、绿化等组成。有标准比赛池、训练池、跳水池各1个，总座位数为4500多个。主体建筑地下一层主要为设备用房等，地上一层主要有场馆办公区、赛事用房、比赛池、跳水池以及消防监控中心、低压配电房等，地上二层为休息厅、观众席、男女更衣室等，地上三层为大屏幕灯光控制室、观众席等。</w:t>
      </w:r>
    </w:p>
    <w:p w14:paraId="5D1BCD0D">
      <w:pPr>
        <w:spacing w:line="360" w:lineRule="auto"/>
        <w:ind w:firstLine="641"/>
      </w:pPr>
      <w:r>
        <w:rPr>
          <w:rFonts w:hint="eastAsia"/>
        </w:rPr>
        <w:t>游泳跳水馆</w:t>
      </w:r>
      <w:r>
        <w:rPr>
          <w:rFonts w:hint="eastAsia"/>
          <w:lang w:val="en-US" w:eastAsia="zh-CN"/>
        </w:rPr>
        <w:t>已于2025年完成</w:t>
      </w:r>
      <w:r>
        <w:rPr>
          <w:rFonts w:hint="eastAsia"/>
        </w:rPr>
        <w:t>十五运会场馆升级改造工程，涉及消防系统改造。游泳跳水馆消防控制室位于场馆首层东南侧，设有消防系统、广播系统、安防监控系统、BA控制系统等。</w:t>
      </w:r>
    </w:p>
    <w:p w14:paraId="08085875">
      <w:pPr>
        <w:spacing w:line="360" w:lineRule="auto"/>
        <w:ind w:firstLine="641"/>
        <w:rPr>
          <w:b/>
        </w:rPr>
      </w:pPr>
      <w:r>
        <w:rPr>
          <w:rFonts w:hint="eastAsia"/>
          <w:b/>
        </w:rPr>
        <w:t>（三）广东奥林匹克网球中心</w:t>
      </w:r>
    </w:p>
    <w:p w14:paraId="091618C2">
      <w:pPr>
        <w:spacing w:line="360" w:lineRule="auto"/>
        <w:ind w:firstLine="641"/>
      </w:pPr>
      <w:r>
        <w:rPr>
          <w:rFonts w:hint="eastAsia"/>
        </w:rPr>
        <w:t>广东奥林匹克网球中心由1座可容纳9534观众的开敞式网球主比赛馆、1座可容纳1845观众的副场和13块室外标准网球场以及相关附属用房组成，总座位数近12000个，总建筑面积20962平方米，占地面积56398.66平方米。其中主馆、副馆为甲级体育建筑，地上三层，采用钢筋混凝土结构和钢桁架轻型屋面板屋盖结构，首层为设备机房、赛事用房、办公用房等，夹层为贵宾包厢，二层为观众疏散层。</w:t>
      </w:r>
    </w:p>
    <w:p w14:paraId="75A1346A">
      <w:pPr>
        <w:spacing w:line="360" w:lineRule="auto"/>
        <w:ind w:firstLine="641"/>
      </w:pPr>
      <w:r>
        <w:rPr>
          <w:rFonts w:hint="eastAsia"/>
        </w:rPr>
        <w:t>网球中心消防控制室位于场馆首层西侧，设有消防系统、安防监控系统、灯光控制系统等系统。</w:t>
      </w:r>
    </w:p>
    <w:p w14:paraId="345EFF33">
      <w:pPr>
        <w:ind w:firstLine="560" w:firstLineChars="200"/>
        <w:rPr>
          <w:rFonts w:ascii="黑体" w:hAnsi="黑体" w:eastAsia="黑体"/>
          <w:sz w:val="28"/>
        </w:rPr>
      </w:pPr>
      <w:r>
        <w:rPr>
          <w:rFonts w:ascii="黑体" w:hAnsi="黑体" w:eastAsia="黑体"/>
          <w:sz w:val="28"/>
        </w:rPr>
        <w:t>三、</w:t>
      </w:r>
      <w:r>
        <w:rPr>
          <w:rFonts w:hint="eastAsia" w:ascii="黑体" w:hAnsi="黑体" w:eastAsia="黑体"/>
          <w:sz w:val="28"/>
        </w:rPr>
        <w:t>服务</w:t>
      </w:r>
      <w:r>
        <w:rPr>
          <w:rFonts w:ascii="黑体" w:hAnsi="黑体" w:eastAsia="黑体"/>
          <w:sz w:val="28"/>
        </w:rPr>
        <w:t>范围</w:t>
      </w:r>
    </w:p>
    <w:p w14:paraId="077B7EE8">
      <w:pPr>
        <w:spacing w:line="360" w:lineRule="auto"/>
        <w:ind w:firstLine="641"/>
        <w:rPr>
          <w:rFonts w:hint="eastAsia"/>
          <w:b w:val="0"/>
          <w:bCs/>
        </w:rPr>
      </w:pPr>
      <w:r>
        <w:rPr>
          <w:rFonts w:hint="eastAsia"/>
          <w:b w:val="0"/>
          <w:bCs/>
          <w:lang w:eastAsia="zh-CN"/>
        </w:rPr>
        <w:t>（</w:t>
      </w:r>
      <w:r>
        <w:rPr>
          <w:rFonts w:hint="eastAsia"/>
          <w:b w:val="0"/>
          <w:bCs/>
          <w:lang w:val="en-US" w:eastAsia="zh-CN"/>
        </w:rPr>
        <w:t>一</w:t>
      </w:r>
      <w:r>
        <w:rPr>
          <w:rFonts w:hint="eastAsia"/>
          <w:b w:val="0"/>
          <w:bCs/>
          <w:lang w:eastAsia="zh-CN"/>
        </w:rPr>
        <w:t>）</w:t>
      </w:r>
      <w:r>
        <w:rPr>
          <w:rFonts w:hint="eastAsia"/>
          <w:b w:val="0"/>
          <w:bCs/>
        </w:rPr>
        <w:t>负责奥体中心管辖范围内的24小时安全保卫工作，含最小应急单元、微型消防站值班值守</w:t>
      </w:r>
      <w:r>
        <w:rPr>
          <w:rFonts w:hint="eastAsia"/>
          <w:b w:val="0"/>
          <w:bCs/>
          <w:lang w:eastAsia="zh-CN"/>
        </w:rPr>
        <w:t>、</w:t>
      </w:r>
      <w:r>
        <w:rPr>
          <w:rFonts w:hint="eastAsia"/>
          <w:b w:val="0"/>
          <w:bCs/>
          <w:lang w:val="en-US" w:eastAsia="zh-CN"/>
        </w:rPr>
        <w:t>体育场总控中心监控值班</w:t>
      </w:r>
      <w:r>
        <w:rPr>
          <w:rFonts w:hint="eastAsia"/>
          <w:b w:val="0"/>
          <w:bCs/>
        </w:rPr>
        <w:t>（不含消防控制室值班），平面秩序维护、防火防汛防风巡查与治安巡逻，以及赛事演艺活动、来访接待等活动的安全保卫工作。</w:t>
      </w:r>
    </w:p>
    <w:p w14:paraId="30D49A71">
      <w:pPr>
        <w:spacing w:line="360" w:lineRule="auto"/>
        <w:ind w:firstLine="641"/>
        <w:rPr>
          <w:rFonts w:hint="eastAsia"/>
          <w:b w:val="0"/>
          <w:bCs/>
        </w:rPr>
      </w:pPr>
      <w:r>
        <w:rPr>
          <w:rFonts w:hint="eastAsia"/>
          <w:b w:val="0"/>
          <w:bCs/>
          <w:lang w:eastAsia="zh-CN"/>
        </w:rPr>
        <w:t>（</w:t>
      </w:r>
      <w:r>
        <w:rPr>
          <w:rFonts w:hint="eastAsia"/>
          <w:b w:val="0"/>
          <w:bCs/>
          <w:lang w:val="en-US" w:eastAsia="zh-CN"/>
        </w:rPr>
        <w:t>二</w:t>
      </w:r>
      <w:r>
        <w:rPr>
          <w:rFonts w:hint="eastAsia"/>
          <w:b w:val="0"/>
          <w:bCs/>
          <w:lang w:eastAsia="zh-CN"/>
        </w:rPr>
        <w:t>）</w:t>
      </w:r>
      <w:r>
        <w:rPr>
          <w:rFonts w:hint="eastAsia"/>
          <w:b w:val="0"/>
          <w:bCs/>
        </w:rPr>
        <w:t>负责奥体中心管辖范围内各类车辆的出入与停放管理，物资的出入管理。</w:t>
      </w:r>
    </w:p>
    <w:p w14:paraId="5EFFBF9C">
      <w:pPr>
        <w:spacing w:line="360" w:lineRule="auto"/>
        <w:ind w:firstLine="641"/>
        <w:rPr>
          <w:rFonts w:hint="eastAsia"/>
          <w:b w:val="0"/>
          <w:bCs/>
        </w:rPr>
      </w:pPr>
      <w:r>
        <w:rPr>
          <w:rFonts w:hint="eastAsia"/>
          <w:b w:val="0"/>
          <w:bCs/>
          <w:lang w:eastAsia="zh-CN"/>
        </w:rPr>
        <w:t>（</w:t>
      </w:r>
      <w:r>
        <w:rPr>
          <w:rFonts w:hint="eastAsia"/>
          <w:b w:val="0"/>
          <w:bCs/>
          <w:lang w:val="en-US" w:eastAsia="zh-CN"/>
        </w:rPr>
        <w:t>三</w:t>
      </w:r>
      <w:r>
        <w:rPr>
          <w:rFonts w:hint="eastAsia"/>
          <w:b w:val="0"/>
          <w:bCs/>
          <w:lang w:eastAsia="zh-CN"/>
        </w:rPr>
        <w:t>）</w:t>
      </w:r>
      <w:r>
        <w:rPr>
          <w:rFonts w:hint="eastAsia"/>
          <w:b w:val="0"/>
          <w:bCs/>
        </w:rPr>
        <w:t>负责奥体中心管辖范围群众体育锻炼场地的人员和设施的治安秩序管理。</w:t>
      </w:r>
    </w:p>
    <w:p w14:paraId="6EC6F602">
      <w:pPr>
        <w:spacing w:line="360" w:lineRule="auto"/>
        <w:ind w:firstLine="641"/>
        <w:rPr>
          <w:rFonts w:hint="eastAsia"/>
          <w:b w:val="0"/>
          <w:bCs/>
        </w:rPr>
      </w:pPr>
      <w:r>
        <w:rPr>
          <w:rFonts w:hint="eastAsia"/>
          <w:b w:val="0"/>
          <w:bCs/>
          <w:lang w:eastAsia="zh-CN"/>
        </w:rPr>
        <w:t>（</w:t>
      </w:r>
      <w:r>
        <w:rPr>
          <w:rFonts w:hint="eastAsia"/>
          <w:b w:val="0"/>
          <w:bCs/>
          <w:lang w:val="en-US" w:eastAsia="zh-CN"/>
        </w:rPr>
        <w:t>四</w:t>
      </w:r>
      <w:r>
        <w:rPr>
          <w:rFonts w:hint="eastAsia"/>
          <w:b w:val="0"/>
          <w:bCs/>
          <w:lang w:eastAsia="zh-CN"/>
        </w:rPr>
        <w:t>）</w:t>
      </w:r>
      <w:r>
        <w:rPr>
          <w:rFonts w:hint="eastAsia"/>
          <w:b w:val="0"/>
          <w:bCs/>
        </w:rPr>
        <w:t>负责奥体中心管辖范围停车收费系统的日常管理。</w:t>
      </w:r>
    </w:p>
    <w:p w14:paraId="26D1721C">
      <w:pPr>
        <w:spacing w:line="360" w:lineRule="auto"/>
        <w:ind w:firstLine="641"/>
        <w:rPr>
          <w:rFonts w:hint="eastAsia"/>
          <w:b w:val="0"/>
          <w:bCs/>
        </w:rPr>
      </w:pPr>
      <w:r>
        <w:rPr>
          <w:rFonts w:hint="eastAsia"/>
          <w:b w:val="0"/>
          <w:bCs/>
          <w:lang w:eastAsia="zh-CN"/>
        </w:rPr>
        <w:t>（</w:t>
      </w:r>
      <w:r>
        <w:rPr>
          <w:rFonts w:hint="eastAsia"/>
          <w:b w:val="0"/>
          <w:bCs/>
          <w:lang w:val="en-US" w:eastAsia="zh-CN"/>
        </w:rPr>
        <w:t>五</w:t>
      </w:r>
      <w:r>
        <w:rPr>
          <w:rFonts w:hint="eastAsia"/>
          <w:b w:val="0"/>
          <w:bCs/>
          <w:lang w:eastAsia="zh-CN"/>
        </w:rPr>
        <w:t>）</w:t>
      </w:r>
      <w:r>
        <w:rPr>
          <w:rFonts w:hint="eastAsia"/>
          <w:b w:val="0"/>
          <w:bCs/>
        </w:rPr>
        <w:t>负责奥体中心管辖范围内的各</w:t>
      </w:r>
      <w:r>
        <w:rPr>
          <w:rFonts w:hint="eastAsia"/>
          <w:b w:val="0"/>
          <w:bCs/>
          <w:lang w:val="en-US" w:eastAsia="zh-CN"/>
        </w:rPr>
        <w:t>类</w:t>
      </w:r>
      <w:r>
        <w:rPr>
          <w:rFonts w:hint="eastAsia"/>
          <w:b w:val="0"/>
          <w:bCs/>
        </w:rPr>
        <w:t>突发事件先期处置工作。</w:t>
      </w:r>
    </w:p>
    <w:p w14:paraId="62709546">
      <w:pPr>
        <w:ind w:firstLine="560" w:firstLineChars="200"/>
        <w:rPr>
          <w:rFonts w:ascii="黑体" w:hAnsi="黑体" w:eastAsia="黑体"/>
          <w:sz w:val="28"/>
        </w:rPr>
      </w:pPr>
      <w:r>
        <w:rPr>
          <w:rFonts w:ascii="黑体" w:hAnsi="黑体" w:eastAsia="黑体"/>
          <w:sz w:val="28"/>
        </w:rPr>
        <w:t>四、</w:t>
      </w:r>
      <w:r>
        <w:rPr>
          <w:rFonts w:hint="eastAsia" w:ascii="黑体" w:hAnsi="黑体" w:eastAsia="黑体"/>
          <w:sz w:val="28"/>
        </w:rPr>
        <w:t>服务</w:t>
      </w:r>
      <w:r>
        <w:rPr>
          <w:rFonts w:ascii="黑体" w:hAnsi="黑体" w:eastAsia="黑体"/>
          <w:sz w:val="28"/>
        </w:rPr>
        <w:t>要求</w:t>
      </w:r>
    </w:p>
    <w:p w14:paraId="1D7B1370">
      <w:pPr>
        <w:spacing w:line="360" w:lineRule="auto"/>
        <w:ind w:firstLine="641"/>
      </w:pPr>
      <w:r>
        <w:rPr>
          <w:rFonts w:hint="eastAsia"/>
        </w:rPr>
        <w:t>（一）</w:t>
      </w:r>
      <w:r>
        <w:rPr>
          <w:rFonts w:hint="eastAsia"/>
          <w:lang w:eastAsia="zh-CN"/>
        </w:rPr>
        <w:t>投标人</w:t>
      </w:r>
      <w:r>
        <w:rPr>
          <w:rFonts w:hint="eastAsia"/>
        </w:rPr>
        <w:t>须根据现行</w:t>
      </w:r>
      <w:r>
        <w:rPr>
          <w:rFonts w:hint="eastAsia"/>
          <w:lang w:eastAsia="zh-CN"/>
        </w:rPr>
        <w:t>《中华人民共和国反恐怖主义法》</w:t>
      </w:r>
      <w:r>
        <w:rPr>
          <w:rFonts w:hint="eastAsia"/>
        </w:rPr>
        <w:t>《中华人民共和国消防法》《广东省安全生产条例》等国家、省、市相关消防法规以及广州市《消防安全重点单位消防安全管理规范》等现行规范标准，</w:t>
      </w:r>
      <w:r>
        <w:rPr>
          <w:rFonts w:hint="eastAsia"/>
          <w:lang w:val="en-US" w:eastAsia="zh-CN"/>
        </w:rPr>
        <w:t>因地制宜</w:t>
      </w:r>
      <w:r>
        <w:rPr>
          <w:rFonts w:hint="eastAsia"/>
        </w:rPr>
        <w:t>制定</w:t>
      </w:r>
      <w:r>
        <w:rPr>
          <w:rFonts w:hint="eastAsia"/>
          <w:lang w:val="en-US" w:eastAsia="zh-CN"/>
        </w:rPr>
        <w:t>切实可行</w:t>
      </w:r>
      <w:r>
        <w:rPr>
          <w:rFonts w:hint="eastAsia"/>
        </w:rPr>
        <w:t>的</w:t>
      </w:r>
      <w:r>
        <w:rPr>
          <w:rFonts w:hint="eastAsia"/>
          <w:lang w:val="en-US" w:eastAsia="zh-CN"/>
        </w:rPr>
        <w:t>安保</w:t>
      </w:r>
      <w:r>
        <w:rPr>
          <w:rFonts w:hint="eastAsia"/>
        </w:rPr>
        <w:t>工作方案并严格执行。</w:t>
      </w:r>
    </w:p>
    <w:p w14:paraId="039F1638">
      <w:pPr>
        <w:spacing w:line="360" w:lineRule="auto"/>
        <w:ind w:firstLine="641"/>
        <w:rPr>
          <w:rFonts w:hint="eastAsia"/>
        </w:rPr>
      </w:pPr>
      <w:r>
        <w:t>（二）服务人员要求</w:t>
      </w:r>
    </w:p>
    <w:p w14:paraId="52DDFD8D">
      <w:pPr>
        <w:spacing w:line="360" w:lineRule="auto"/>
        <w:ind w:firstLine="641"/>
      </w:pPr>
      <w:r>
        <w:rPr>
          <w:rFonts w:hint="eastAsia"/>
        </w:rPr>
        <w:t>1</w:t>
      </w:r>
      <w:r>
        <w:t>.项目管理</w:t>
      </w:r>
      <w:r>
        <w:rPr>
          <w:rFonts w:hint="eastAsia"/>
        </w:rPr>
        <w:t>人员</w:t>
      </w:r>
    </w:p>
    <w:p w14:paraId="2843BFF9">
      <w:pPr>
        <w:spacing w:line="360" w:lineRule="auto"/>
        <w:ind w:firstLine="641"/>
      </w:pPr>
      <w:r>
        <w:rPr>
          <w:rFonts w:hint="eastAsia"/>
          <w:lang w:val="en-US" w:eastAsia="zh-CN"/>
        </w:rPr>
        <w:t>即项目经理，项目负责人，全面负责本服务项目</w:t>
      </w:r>
      <w:r>
        <w:t>。具体要求如下：</w:t>
      </w:r>
    </w:p>
    <w:p w14:paraId="32B03E60">
      <w:pPr>
        <w:spacing w:line="360" w:lineRule="auto"/>
        <w:ind w:firstLine="641"/>
      </w:pPr>
      <w:r>
        <w:rPr>
          <w:rFonts w:hint="eastAsia"/>
        </w:rPr>
        <w:t>1</w:t>
      </w:r>
      <w:r>
        <w:t>.1男性，</w:t>
      </w:r>
      <w:r>
        <w:rPr>
          <w:rFonts w:hint="eastAsia"/>
        </w:rPr>
        <w:t>具有大学</w:t>
      </w:r>
      <w:r>
        <w:rPr>
          <w:rFonts w:hint="eastAsia"/>
          <w:lang w:val="en-US" w:eastAsia="zh-CN"/>
        </w:rPr>
        <w:t>专科</w:t>
      </w:r>
      <w:r>
        <w:rPr>
          <w:rFonts w:hint="eastAsia"/>
        </w:rPr>
        <w:t>或以上学历</w:t>
      </w:r>
      <w:r>
        <w:rPr>
          <w:rFonts w:hint="eastAsia"/>
          <w:lang w:eastAsia="zh-CN"/>
        </w:rPr>
        <w:t>，</w:t>
      </w:r>
      <w:r>
        <w:t>年满30周岁以上，45周岁以下中国公民，身高1.72米以上，无违法犯罪行为，身体健康，身体无明显疤痕或标记。</w:t>
      </w:r>
    </w:p>
    <w:p w14:paraId="0B149BEE">
      <w:pPr>
        <w:spacing w:line="360" w:lineRule="auto"/>
        <w:ind w:firstLine="641"/>
      </w:pPr>
      <w:r>
        <w:rPr>
          <w:rFonts w:hint="eastAsia"/>
          <w:lang w:val="en-US" w:eastAsia="zh-CN"/>
        </w:rPr>
        <w:t>1.2</w:t>
      </w:r>
      <w:r>
        <w:rPr>
          <w:rFonts w:hint="eastAsia"/>
        </w:rPr>
        <w:t>身体健康，五官端正，普通话流利，能积极完成各项</w:t>
      </w:r>
      <w:r>
        <w:rPr>
          <w:rFonts w:hint="eastAsia"/>
          <w:lang w:val="en-US" w:eastAsia="zh-CN"/>
        </w:rPr>
        <w:t>安保</w:t>
      </w:r>
      <w:r>
        <w:rPr>
          <w:rFonts w:hint="eastAsia"/>
        </w:rPr>
        <w:t>服务，配合完成活动的组织接待。</w:t>
      </w:r>
    </w:p>
    <w:p w14:paraId="742650F9">
      <w:pPr>
        <w:spacing w:line="360" w:lineRule="auto"/>
        <w:ind w:firstLine="641"/>
      </w:pPr>
      <w:r>
        <w:rPr>
          <w:rFonts w:hint="eastAsia"/>
        </w:rPr>
        <w:t>1</w:t>
      </w:r>
      <w:r>
        <w:t>.</w:t>
      </w:r>
      <w:r>
        <w:rPr>
          <w:rFonts w:hint="eastAsia"/>
          <w:lang w:val="en-US" w:eastAsia="zh-CN"/>
        </w:rPr>
        <w:t>3退伍军人</w:t>
      </w:r>
      <w:r>
        <w:rPr>
          <w:rFonts w:hint="eastAsia"/>
        </w:rPr>
        <w:t>，持有保安员三级/高级工（原高级保安员）或以上职业资格证书（技能等级证书），持有应急救援员职业资格证书。熟悉</w:t>
      </w:r>
      <w:r>
        <w:rPr>
          <w:rFonts w:hint="eastAsia"/>
          <w:lang w:val="en-US" w:eastAsia="zh-CN"/>
        </w:rPr>
        <w:t>安保、反恐、</w:t>
      </w:r>
      <w:r>
        <w:rPr>
          <w:rFonts w:hint="eastAsia"/>
        </w:rPr>
        <w:t>安全</w:t>
      </w:r>
      <w:r>
        <w:rPr>
          <w:rFonts w:hint="eastAsia"/>
          <w:lang w:val="en-US" w:eastAsia="zh-CN"/>
        </w:rPr>
        <w:t>生产等相关</w:t>
      </w:r>
      <w:r>
        <w:rPr>
          <w:rFonts w:hint="eastAsia"/>
        </w:rPr>
        <w:t>法律法规等政策文件。</w:t>
      </w:r>
    </w:p>
    <w:p w14:paraId="320974C0">
      <w:pPr>
        <w:spacing w:line="360" w:lineRule="auto"/>
        <w:ind w:firstLine="641"/>
      </w:pPr>
      <w:r>
        <w:rPr>
          <w:rFonts w:hint="eastAsia"/>
        </w:rPr>
        <w:t>1</w:t>
      </w:r>
      <w:r>
        <w:t>.</w:t>
      </w:r>
      <w:r>
        <w:rPr>
          <w:rFonts w:hint="eastAsia"/>
          <w:lang w:val="en-US" w:eastAsia="zh-CN"/>
        </w:rPr>
        <w:t>4</w:t>
      </w:r>
      <w:r>
        <w:t>具有安保服务工作经验5年或以上，具有队伍管理或同等岗位工作经验3年或以上，能迅速、灵活组织处置各类特殊事件和紧急突发事故，具有较强的军事和专业素质</w:t>
      </w:r>
      <w:r>
        <w:rPr>
          <w:rFonts w:hint="eastAsia" w:ascii="宋体" w:hAnsi="宋体"/>
          <w:b w:val="0"/>
          <w:bCs/>
          <w:szCs w:val="21"/>
          <w:lang w:val="en-US" w:eastAsia="zh-CN"/>
        </w:rPr>
        <w:t>。</w:t>
      </w:r>
    </w:p>
    <w:p w14:paraId="7F67DC1E">
      <w:pPr>
        <w:spacing w:line="360" w:lineRule="auto"/>
        <w:ind w:firstLine="641"/>
      </w:pPr>
      <w:r>
        <w:rPr>
          <w:rFonts w:hint="eastAsia"/>
        </w:rPr>
        <w:t>1</w:t>
      </w:r>
      <w:r>
        <w:t>.</w:t>
      </w:r>
      <w:r>
        <w:rPr>
          <w:rFonts w:hint="eastAsia"/>
          <w:lang w:val="en-US" w:eastAsia="zh-CN"/>
        </w:rPr>
        <w:t>5</w:t>
      </w:r>
      <w:r>
        <w:rPr>
          <w:rFonts w:hint="eastAsia"/>
        </w:rPr>
        <w:t>须提供与</w:t>
      </w:r>
      <w:r>
        <w:rPr>
          <w:rFonts w:hint="eastAsia"/>
          <w:lang w:eastAsia="zh-CN"/>
        </w:rPr>
        <w:t>投标人</w:t>
      </w:r>
      <w:r>
        <w:rPr>
          <w:rFonts w:hint="eastAsia"/>
        </w:rPr>
        <w:t>的劳务合同和社保证明材料。</w:t>
      </w:r>
    </w:p>
    <w:p w14:paraId="227357D6">
      <w:pPr>
        <w:spacing w:line="360" w:lineRule="auto"/>
        <w:ind w:firstLine="641"/>
      </w:pPr>
      <w:r>
        <w:t>2.项目其它人员</w:t>
      </w:r>
    </w:p>
    <w:p w14:paraId="1DE048B0">
      <w:pPr>
        <w:spacing w:line="360" w:lineRule="auto"/>
        <w:ind w:firstLine="641"/>
      </w:pPr>
      <w:r>
        <w:rPr>
          <w:rFonts w:hint="eastAsia"/>
          <w:lang w:val="en-US" w:eastAsia="zh-CN"/>
        </w:rPr>
        <w:t>保安主管（队长）和保安员</w:t>
      </w:r>
      <w:r>
        <w:t>。</w:t>
      </w:r>
    </w:p>
    <w:p w14:paraId="59098E1B">
      <w:pPr>
        <w:spacing w:line="360" w:lineRule="auto"/>
        <w:ind w:firstLine="641"/>
        <w:rPr>
          <w:rFonts w:hint="eastAsia" w:eastAsiaTheme="minorEastAsia"/>
          <w:lang w:eastAsia="zh-CN"/>
        </w:rPr>
      </w:pPr>
      <w:r>
        <w:rPr>
          <w:rFonts w:hint="eastAsia"/>
        </w:rPr>
        <w:t>2</w:t>
      </w:r>
      <w:r>
        <w:t>.1</w:t>
      </w:r>
      <w:r>
        <w:rPr>
          <w:rFonts w:hint="eastAsia"/>
          <w:lang w:val="en-US" w:eastAsia="zh-CN"/>
        </w:rPr>
        <w:t>保安主管（队长）</w:t>
      </w:r>
    </w:p>
    <w:p w14:paraId="16AD9C6B">
      <w:pPr>
        <w:spacing w:line="360" w:lineRule="auto"/>
        <w:ind w:firstLine="641"/>
        <w:rPr>
          <w:rFonts w:hint="eastAsia" w:eastAsiaTheme="minorEastAsia"/>
          <w:lang w:val="en-US" w:eastAsia="zh-CN"/>
        </w:rPr>
      </w:pPr>
      <w:r>
        <w:rPr>
          <w:rFonts w:hint="eastAsia"/>
        </w:rPr>
        <w:t>2</w:t>
      </w:r>
      <w:r>
        <w:t>.</w:t>
      </w:r>
      <w:r>
        <w:rPr>
          <w:rFonts w:hint="eastAsia"/>
        </w:rPr>
        <w:t>1</w:t>
      </w:r>
      <w:r>
        <w:t>.1</w:t>
      </w:r>
      <w:r>
        <w:rPr>
          <w:rFonts w:hint="eastAsia"/>
          <w:lang w:val="en-US" w:eastAsia="zh-CN"/>
        </w:rPr>
        <w:t>男性，</w:t>
      </w:r>
      <w:r>
        <w:rPr>
          <w:sz w:val="21"/>
        </w:rPr>
        <w:t>具有高中或同等以上文化程度</w:t>
      </w:r>
      <w:r>
        <w:rPr>
          <w:rFonts w:hint="eastAsia"/>
          <w:sz w:val="21"/>
          <w:lang w:eastAsia="zh-CN"/>
        </w:rPr>
        <w:t>，</w:t>
      </w:r>
      <w:r>
        <w:rPr>
          <w:rFonts w:hint="eastAsia"/>
          <w:lang w:val="en-US" w:eastAsia="zh-CN"/>
        </w:rPr>
        <w:t>年满30周岁以上，45周岁以下中国公民，身高1.70米以上，无违法犯罪行为，身体健康，身体无明显疤痕或标记。</w:t>
      </w:r>
    </w:p>
    <w:p w14:paraId="38B08975">
      <w:pPr>
        <w:spacing w:line="360" w:lineRule="auto"/>
        <w:ind w:firstLine="641"/>
        <w:rPr>
          <w:rFonts w:hint="default" w:eastAsiaTheme="minorEastAsia"/>
          <w:lang w:val="en-US" w:eastAsia="zh-CN"/>
        </w:rPr>
      </w:pPr>
      <w:r>
        <w:rPr>
          <w:rFonts w:hint="eastAsia"/>
          <w:lang w:val="en-US" w:eastAsia="zh-CN"/>
        </w:rPr>
        <w:t>2.1.2退伍军人优先，</w:t>
      </w:r>
      <w:r>
        <w:rPr>
          <w:rFonts w:hint="eastAsia"/>
        </w:rPr>
        <w:t>身体健康，五官端正，普通话标准，服从管理，做事细致，</w:t>
      </w:r>
      <w:r>
        <w:rPr>
          <w:rFonts w:hint="eastAsia"/>
          <w:lang w:val="en-US" w:eastAsia="zh-CN"/>
        </w:rPr>
        <w:t>成熟稳重，</w:t>
      </w:r>
      <w:r>
        <w:rPr>
          <w:rFonts w:hint="eastAsia"/>
        </w:rPr>
        <w:t>责任心强</w:t>
      </w:r>
      <w:r>
        <w:rPr>
          <w:rFonts w:hint="eastAsia" w:ascii="宋体" w:hAnsi="宋体"/>
          <w:b w:val="0"/>
          <w:bCs/>
          <w:szCs w:val="21"/>
          <w:lang w:val="en-US" w:eastAsia="zh-CN"/>
        </w:rPr>
        <w:t>。</w:t>
      </w:r>
    </w:p>
    <w:p w14:paraId="4BE95EB2">
      <w:pPr>
        <w:spacing w:line="360" w:lineRule="auto"/>
        <w:ind w:firstLine="641"/>
      </w:pPr>
      <w:r>
        <w:rPr>
          <w:rFonts w:hint="eastAsia"/>
        </w:rPr>
        <w:t>2</w:t>
      </w:r>
      <w:r>
        <w:t>.</w:t>
      </w:r>
      <w:r>
        <w:rPr>
          <w:rFonts w:hint="eastAsia"/>
        </w:rPr>
        <w:t>1</w:t>
      </w:r>
      <w:r>
        <w:t>.</w:t>
      </w:r>
      <w:r>
        <w:rPr>
          <w:rFonts w:hint="eastAsia"/>
          <w:lang w:val="en-US" w:eastAsia="zh-CN"/>
        </w:rPr>
        <w:t>3</w:t>
      </w:r>
      <w:r>
        <w:t>持有保安员四级/中级工（原中级保安员）或以上职业资格证书（技能等级证书），持有应急救援员职业资格证书。</w:t>
      </w:r>
    </w:p>
    <w:p w14:paraId="28468848">
      <w:pPr>
        <w:spacing w:line="360" w:lineRule="auto"/>
        <w:ind w:firstLine="641"/>
      </w:pPr>
      <w:r>
        <w:rPr>
          <w:rFonts w:hint="eastAsia"/>
        </w:rPr>
        <w:t>2</w:t>
      </w:r>
      <w:r>
        <w:t>.</w:t>
      </w:r>
      <w:r>
        <w:rPr>
          <w:rFonts w:hint="eastAsia"/>
        </w:rPr>
        <w:t>1</w:t>
      </w:r>
      <w:r>
        <w:t>.3具有安保服务工作经验3年或以上，具有队伍管理或同等岗位工作经验1年或以上，能迅速、灵活组织处置各类特殊事件和紧急突发事故</w:t>
      </w:r>
      <w:r>
        <w:rPr>
          <w:rFonts w:hint="eastAsia"/>
        </w:rPr>
        <w:t>。</w:t>
      </w:r>
    </w:p>
    <w:p w14:paraId="4C188EB1">
      <w:pPr>
        <w:spacing w:line="360" w:lineRule="auto"/>
        <w:ind w:firstLine="641"/>
      </w:pPr>
      <w:r>
        <w:rPr>
          <w:rFonts w:hint="eastAsia"/>
        </w:rPr>
        <w:t>2</w:t>
      </w:r>
      <w:r>
        <w:t>.</w:t>
      </w:r>
      <w:r>
        <w:rPr>
          <w:rFonts w:hint="eastAsia"/>
        </w:rPr>
        <w:t>1</w:t>
      </w:r>
      <w:r>
        <w:t>.</w:t>
      </w:r>
      <w:r>
        <w:rPr>
          <w:rFonts w:hint="eastAsia"/>
          <w:lang w:val="en-US" w:eastAsia="zh-CN"/>
        </w:rPr>
        <w:t>4</w:t>
      </w:r>
      <w:r>
        <w:rPr>
          <w:rFonts w:hint="eastAsia"/>
        </w:rPr>
        <w:t>体育场</w:t>
      </w:r>
      <w:r>
        <w:rPr>
          <w:rFonts w:hint="eastAsia"/>
          <w:lang w:val="en-US" w:eastAsia="zh-CN"/>
        </w:rPr>
        <w:t>总控中心监控</w:t>
      </w:r>
      <w:r>
        <w:rPr>
          <w:rFonts w:hint="eastAsia"/>
        </w:rPr>
        <w:t>值班人员年龄不得</w:t>
      </w:r>
      <w:r>
        <w:rPr>
          <w:rFonts w:hint="eastAsia"/>
          <w:lang w:val="en-US" w:eastAsia="zh-CN"/>
        </w:rPr>
        <w:t>低于30周岁，且不得高于48</w:t>
      </w:r>
      <w:r>
        <w:rPr>
          <w:rFonts w:hint="eastAsia"/>
        </w:rPr>
        <w:t>周岁。</w:t>
      </w:r>
    </w:p>
    <w:p w14:paraId="0B189151">
      <w:pPr>
        <w:spacing w:line="360" w:lineRule="auto"/>
        <w:ind w:firstLine="641"/>
      </w:pPr>
      <w:r>
        <w:rPr>
          <w:rFonts w:hint="eastAsia"/>
        </w:rPr>
        <w:t>2</w:t>
      </w:r>
      <w:r>
        <w:t>.</w:t>
      </w:r>
      <w:r>
        <w:rPr>
          <w:rFonts w:hint="eastAsia"/>
        </w:rPr>
        <w:t>1</w:t>
      </w:r>
      <w:r>
        <w:t>.</w:t>
      </w:r>
      <w:r>
        <w:rPr>
          <w:rFonts w:hint="eastAsia"/>
          <w:lang w:val="en-US" w:eastAsia="zh-CN"/>
        </w:rPr>
        <w:t>5</w:t>
      </w:r>
      <w:r>
        <w:rPr>
          <w:rFonts w:hint="eastAsia"/>
        </w:rPr>
        <w:t>须提供与</w:t>
      </w:r>
      <w:r>
        <w:rPr>
          <w:rFonts w:hint="eastAsia"/>
          <w:lang w:eastAsia="zh-CN"/>
        </w:rPr>
        <w:t>投标人</w:t>
      </w:r>
      <w:r>
        <w:rPr>
          <w:rFonts w:hint="eastAsia"/>
        </w:rPr>
        <w:t>的劳务合同和社保证明材料。</w:t>
      </w:r>
    </w:p>
    <w:p w14:paraId="07720704">
      <w:pPr>
        <w:spacing w:line="360" w:lineRule="auto"/>
        <w:ind w:firstLine="641"/>
        <w:rPr>
          <w:rFonts w:hint="default" w:eastAsiaTheme="minorEastAsia"/>
          <w:lang w:val="en-US" w:eastAsia="zh-CN"/>
        </w:rPr>
      </w:pPr>
      <w:r>
        <w:t>2.2</w:t>
      </w:r>
      <w:r>
        <w:rPr>
          <w:rFonts w:hint="eastAsia"/>
          <w:lang w:val="en-US" w:eastAsia="zh-CN"/>
        </w:rPr>
        <w:t>保安员</w:t>
      </w:r>
    </w:p>
    <w:p w14:paraId="14C41347">
      <w:pPr>
        <w:spacing w:line="360" w:lineRule="auto"/>
        <w:ind w:firstLine="641"/>
        <w:rPr>
          <w:rFonts w:hint="eastAsia" w:eastAsiaTheme="minorEastAsia"/>
          <w:lang w:eastAsia="zh-CN"/>
        </w:rPr>
      </w:pPr>
      <w:r>
        <w:rPr>
          <w:rFonts w:hint="eastAsia"/>
        </w:rPr>
        <w:t>2</w:t>
      </w:r>
      <w:r>
        <w:t>.</w:t>
      </w:r>
      <w:r>
        <w:rPr>
          <w:rFonts w:hint="eastAsia"/>
        </w:rPr>
        <w:t>2</w:t>
      </w:r>
      <w:r>
        <w:t>.1具有初中或同等以上文化程度，男性身高1.68米以上，年满20周岁以上，50周岁以下中国公民；女性身高1.60米以上，年满20周岁以上，45周岁以下中国公民。</w:t>
      </w:r>
    </w:p>
    <w:p w14:paraId="0DABBF57">
      <w:pPr>
        <w:spacing w:line="360" w:lineRule="auto"/>
        <w:ind w:firstLine="641"/>
      </w:pPr>
      <w:r>
        <w:rPr>
          <w:rFonts w:hint="eastAsia"/>
        </w:rPr>
        <w:t>2</w:t>
      </w:r>
      <w:r>
        <w:t>.2.2</w:t>
      </w:r>
      <w:r>
        <w:rPr>
          <w:sz w:val="21"/>
        </w:rPr>
        <w:t>无违法犯罪行为，身体健康，五官端正，无传染病，无残疾，视（裸）力1.0以上，品行良好，普通话标准，身体无明显疤痕或标记</w:t>
      </w:r>
      <w:r>
        <w:rPr>
          <w:rFonts w:hint="eastAsia"/>
        </w:rPr>
        <w:t>。</w:t>
      </w:r>
    </w:p>
    <w:p w14:paraId="52214EA8">
      <w:pPr>
        <w:spacing w:line="360" w:lineRule="auto"/>
        <w:ind w:firstLine="641"/>
        <w:rPr>
          <w:rFonts w:hint="eastAsia"/>
          <w:sz w:val="21"/>
          <w:lang w:eastAsia="zh-CN"/>
        </w:rPr>
      </w:pPr>
      <w:r>
        <w:rPr>
          <w:rFonts w:hint="eastAsia"/>
        </w:rPr>
        <w:t>2</w:t>
      </w:r>
      <w:r>
        <w:t>.2.3</w:t>
      </w:r>
      <w:r>
        <w:rPr>
          <w:sz w:val="21"/>
        </w:rPr>
        <w:t>持有公安机关颁发的保安员证</w:t>
      </w:r>
      <w:r>
        <w:rPr>
          <w:rFonts w:hint="eastAsia"/>
          <w:sz w:val="21"/>
          <w:lang w:eastAsia="zh-CN"/>
        </w:rPr>
        <w:t>。具有安保服务工作经验，遵纪守法，服从安排，正直诚实，服务意识强。</w:t>
      </w:r>
    </w:p>
    <w:p w14:paraId="0D7B6178">
      <w:pPr>
        <w:spacing w:line="360" w:lineRule="auto"/>
        <w:ind w:firstLine="641"/>
        <w:rPr>
          <w:rFonts w:hint="default"/>
          <w:lang w:val="en-US"/>
        </w:rPr>
      </w:pPr>
      <w:r>
        <w:rPr>
          <w:rFonts w:hint="eastAsia"/>
          <w:sz w:val="21"/>
          <w:lang w:val="en-US" w:eastAsia="zh-CN"/>
        </w:rPr>
        <w:t>2.2.4接受过心肺复苏和AED设备的相关理论和实操培训。</w:t>
      </w:r>
    </w:p>
    <w:p w14:paraId="6B947D10">
      <w:pPr>
        <w:spacing w:line="360" w:lineRule="auto"/>
        <w:ind w:firstLine="641"/>
      </w:pPr>
      <w:r>
        <w:rPr>
          <w:rFonts w:hint="eastAsia"/>
        </w:rPr>
        <w:t>2</w:t>
      </w:r>
      <w:r>
        <w:t>.</w:t>
      </w:r>
      <w:r>
        <w:rPr>
          <w:rFonts w:hint="eastAsia"/>
        </w:rPr>
        <w:t>2</w:t>
      </w:r>
      <w:r>
        <w:t>.</w:t>
      </w:r>
      <w:r>
        <w:rPr>
          <w:rFonts w:hint="eastAsia"/>
          <w:lang w:val="en-US" w:eastAsia="zh-CN"/>
        </w:rPr>
        <w:t>5具备必要的身体素质和相关安全知识</w:t>
      </w:r>
      <w:r>
        <w:rPr>
          <w:rFonts w:hint="eastAsia"/>
        </w:rPr>
        <w:t>。</w:t>
      </w:r>
    </w:p>
    <w:p w14:paraId="0702AD9F">
      <w:pPr>
        <w:spacing w:line="360" w:lineRule="auto"/>
        <w:ind w:firstLine="641"/>
      </w:pPr>
      <w:r>
        <w:rPr>
          <w:rFonts w:hint="eastAsia"/>
        </w:rPr>
        <w:t>2</w:t>
      </w:r>
      <w:r>
        <w:t>.</w:t>
      </w:r>
      <w:r>
        <w:rPr>
          <w:rFonts w:hint="eastAsia"/>
        </w:rPr>
        <w:t>2</w:t>
      </w:r>
      <w:r>
        <w:t>.</w:t>
      </w:r>
      <w:r>
        <w:rPr>
          <w:rFonts w:hint="eastAsia"/>
          <w:lang w:val="en-US" w:eastAsia="zh-CN"/>
        </w:rPr>
        <w:t>6</w:t>
      </w:r>
      <w:r>
        <w:rPr>
          <w:rFonts w:hint="eastAsia"/>
        </w:rPr>
        <w:t>须提供与</w:t>
      </w:r>
      <w:r>
        <w:rPr>
          <w:rFonts w:hint="eastAsia"/>
          <w:lang w:eastAsia="zh-CN"/>
        </w:rPr>
        <w:t>投标人</w:t>
      </w:r>
      <w:r>
        <w:rPr>
          <w:rFonts w:hint="eastAsia"/>
        </w:rPr>
        <w:t>的劳务合同和社保证明材料。</w:t>
      </w:r>
    </w:p>
    <w:p w14:paraId="2081455B">
      <w:pPr>
        <w:spacing w:line="360" w:lineRule="auto"/>
        <w:ind w:firstLine="641"/>
        <w:rPr>
          <w:rFonts w:hint="eastAsia"/>
        </w:rPr>
      </w:pPr>
      <w:r>
        <w:t>（</w:t>
      </w:r>
      <w:r>
        <w:rPr>
          <w:rFonts w:hint="eastAsia"/>
          <w:lang w:val="en-US" w:eastAsia="zh-CN"/>
        </w:rPr>
        <w:t>三</w:t>
      </w:r>
      <w:r>
        <w:t>）服务</w:t>
      </w:r>
      <w:r>
        <w:rPr>
          <w:rFonts w:hint="eastAsia"/>
          <w:lang w:val="en-US" w:eastAsia="zh-CN"/>
        </w:rPr>
        <w:t>人数</w:t>
      </w:r>
      <w:r>
        <w:t>要求</w:t>
      </w:r>
    </w:p>
    <w:p w14:paraId="5915CB10">
      <w:pPr>
        <w:spacing w:line="360" w:lineRule="auto"/>
        <w:ind w:firstLine="641"/>
      </w:pPr>
      <w:r>
        <w:rPr>
          <w:rFonts w:hint="eastAsia"/>
          <w:lang w:val="en-US" w:eastAsia="zh-CN"/>
        </w:rPr>
        <w:t>1.项目管理人员不少于1人。</w:t>
      </w:r>
      <w:r>
        <w:t>需驻点办公，办公时间外出需向</w:t>
      </w:r>
      <w:r>
        <w:rPr>
          <w:lang w:eastAsia="zh-CN"/>
        </w:rPr>
        <w:t>甲方</w:t>
      </w:r>
      <w:r>
        <w:t>报备</w:t>
      </w:r>
      <w:r>
        <w:rPr>
          <w:rFonts w:hint="eastAsia" w:ascii="宋体" w:hAnsi="宋体"/>
          <w:b w:val="0"/>
          <w:bCs/>
          <w:szCs w:val="21"/>
          <w:lang w:val="en-US" w:eastAsia="zh-CN"/>
        </w:rPr>
        <w:t>。</w:t>
      </w:r>
    </w:p>
    <w:p w14:paraId="59FC3810">
      <w:pPr>
        <w:spacing w:line="360" w:lineRule="auto"/>
        <w:ind w:firstLine="641"/>
        <w:rPr>
          <w:rFonts w:hint="eastAsia"/>
          <w:lang w:val="en-US" w:eastAsia="zh-CN"/>
        </w:rPr>
      </w:pPr>
      <w:r>
        <w:rPr>
          <w:rFonts w:hint="eastAsia"/>
          <w:lang w:val="en-US" w:eastAsia="zh-CN"/>
        </w:rPr>
        <w:t>2.保安员总人数不少于70人（不含休），其中安保主管（队长）不少于3人。</w:t>
      </w:r>
    </w:p>
    <w:p w14:paraId="37DD6E52">
      <w:pPr>
        <w:spacing w:line="360" w:lineRule="auto"/>
        <w:ind w:firstLine="641"/>
        <w:rPr>
          <w:rFonts w:hint="default" w:eastAsiaTheme="minorEastAsia"/>
          <w:lang w:val="en-US" w:eastAsia="zh-CN"/>
        </w:rPr>
      </w:pPr>
      <w:r>
        <w:t>（</w:t>
      </w:r>
      <w:r>
        <w:rPr>
          <w:rFonts w:hint="eastAsia"/>
          <w:lang w:val="en-US" w:eastAsia="zh-CN"/>
        </w:rPr>
        <w:t>四</w:t>
      </w:r>
      <w:r>
        <w:t>）</w:t>
      </w:r>
      <w:r>
        <w:rPr>
          <w:rFonts w:hint="eastAsia"/>
          <w:lang w:val="en-US" w:eastAsia="zh-CN"/>
        </w:rPr>
        <w:t>安保工作职责与操作规范</w:t>
      </w:r>
    </w:p>
    <w:p w14:paraId="2B455C49">
      <w:pPr>
        <w:spacing w:line="360" w:lineRule="auto"/>
        <w:ind w:firstLine="641"/>
      </w:pPr>
      <w:r>
        <w:t>1.</w:t>
      </w:r>
      <w:r>
        <w:rPr>
          <w:rFonts w:hint="eastAsia"/>
          <w:lang w:val="en-US" w:eastAsia="zh-CN"/>
        </w:rPr>
        <w:t>严格执行安保方案、制度及指令，全面落实防火、防盗、防抢、防爆炸、防踩踏、防骚乱、防汛、防风、防治安灾害等工作，常态化排查责任区域安全隐患并跟踪整改</w:t>
      </w:r>
      <w:r>
        <w:rPr>
          <w:rFonts w:hint="eastAsia"/>
        </w:rPr>
        <w:t>。</w:t>
      </w:r>
    </w:p>
    <w:p w14:paraId="6D82EA0C">
      <w:pPr>
        <w:spacing w:line="360" w:lineRule="auto"/>
        <w:ind w:firstLine="641"/>
      </w:pPr>
      <w:r>
        <w:t>2.执勤期间服从命令、听从指挥，坚守岗位、恪尽职守，严禁擅自离岗、脱岗、睡岗及从事与工作无关活动。保持规范着装和文明举止，树立良好安保形象。</w:t>
      </w:r>
    </w:p>
    <w:p w14:paraId="2A924005">
      <w:pPr>
        <w:spacing w:line="360" w:lineRule="auto"/>
        <w:ind w:firstLine="641"/>
      </w:pPr>
      <w:r>
        <w:t>3.</w:t>
      </w:r>
      <w:r>
        <w:rPr>
          <w:rFonts w:hint="eastAsia"/>
          <w:lang w:val="en-US" w:eastAsia="zh-CN"/>
        </w:rPr>
        <w:t>熟悉场馆分布。积极</w:t>
      </w:r>
      <w:r>
        <w:t>协助</w:t>
      </w:r>
      <w:r>
        <w:rPr>
          <w:rFonts w:hint="eastAsia"/>
          <w:lang w:val="en-US" w:eastAsia="zh-CN"/>
        </w:rPr>
        <w:t>采购人</w:t>
      </w:r>
      <w:r>
        <w:t>及公安机关维护现场治安秩序，科学开展人流引导、分流与疏散。发现不稳定因素、安全隐患及异常情况第一时间报告，并按预案采取先期处置措施，制止违法违规行为，保护现场配合调查</w:t>
      </w:r>
      <w:r>
        <w:rPr>
          <w:rFonts w:hint="eastAsia"/>
        </w:rPr>
        <w:t>。</w:t>
      </w:r>
    </w:p>
    <w:p w14:paraId="566122AD">
      <w:pPr>
        <w:spacing w:line="360" w:lineRule="auto"/>
        <w:ind w:firstLine="641"/>
      </w:pPr>
      <w:r>
        <w:rPr>
          <w:rFonts w:hint="eastAsia"/>
          <w:lang w:val="en-US" w:eastAsia="zh-CN"/>
        </w:rPr>
        <w:t>4</w:t>
      </w:r>
      <w:r>
        <w:t>.协助做好嘉宾及重要人员人身安全保卫，落实路线警戒等措施。对出入口、配电室、消防控制室等重点部位加强巡逻值守，构建人防、物防、技防一体化保障体系。</w:t>
      </w:r>
    </w:p>
    <w:p w14:paraId="0C5E2BAA">
      <w:pPr>
        <w:spacing w:line="360" w:lineRule="auto"/>
        <w:ind w:firstLine="641"/>
      </w:pPr>
      <w:r>
        <w:rPr>
          <w:rFonts w:hint="eastAsia"/>
          <w:lang w:val="en-US" w:eastAsia="zh-CN"/>
        </w:rPr>
        <w:t>5</w:t>
      </w:r>
      <w:r>
        <w:t>.保持高度警惕，严密监控人员及物品动态。发现可疑人员、不明物品立即报告，同时划定警戒区、疏散周边人员，严禁无关人员靠近，配合专业人员处置并保护事故现场</w:t>
      </w:r>
      <w:r>
        <w:rPr>
          <w:rFonts w:hint="eastAsia"/>
        </w:rPr>
        <w:t>。</w:t>
      </w:r>
    </w:p>
    <w:p w14:paraId="67FE8188">
      <w:pPr>
        <w:spacing w:line="360" w:lineRule="auto"/>
        <w:ind w:firstLine="641"/>
      </w:pPr>
      <w:r>
        <w:rPr>
          <w:rFonts w:hint="eastAsia"/>
          <w:lang w:val="en-US" w:eastAsia="zh-CN"/>
        </w:rPr>
        <w:t>6</w:t>
      </w:r>
      <w:r>
        <w:t>.熟练掌握各类应急预案及处置流程。遇突发事件立即启动预案，按</w:t>
      </w:r>
      <w:r>
        <w:rPr>
          <w:rFonts w:hint="eastAsia"/>
          <w:lang w:eastAsia="zh-CN"/>
        </w:rPr>
        <w:t>“</w:t>
      </w:r>
      <w:r>
        <w:t>先救人、后救物</w:t>
      </w:r>
      <w:r>
        <w:rPr>
          <w:rFonts w:hint="eastAsia"/>
          <w:lang w:eastAsia="zh-CN"/>
        </w:rPr>
        <w:t>”</w:t>
      </w:r>
      <w:r>
        <w:t>原则组织人员疏散，控制事态扩大，配合公安、消防、医疗等部门开展救援工作。</w:t>
      </w:r>
    </w:p>
    <w:p w14:paraId="0B4CC605">
      <w:pPr>
        <w:spacing w:line="360" w:lineRule="auto"/>
        <w:ind w:firstLine="641"/>
      </w:pPr>
      <w:r>
        <w:rPr>
          <w:rFonts w:hint="eastAsia"/>
          <w:lang w:val="en-US" w:eastAsia="zh-CN"/>
        </w:rPr>
        <w:t>7</w:t>
      </w:r>
      <w:r>
        <w:t>.落实每日防火巡查制度，检查消防设施完好性、疏散通道畅通性及用火用电合规性。熟悉消防器材使用方法，发现火情立即报警并组织初期扑救，配合</w:t>
      </w:r>
      <w:r>
        <w:rPr>
          <w:rFonts w:hint="eastAsia"/>
          <w:lang w:val="en-US" w:eastAsia="zh-CN"/>
        </w:rPr>
        <w:t>采购人</w:t>
      </w:r>
      <w:r>
        <w:t>做好消防设施巡检维护。</w:t>
      </w:r>
    </w:p>
    <w:p w14:paraId="5B9E5D60">
      <w:pPr>
        <w:spacing w:line="360" w:lineRule="auto"/>
        <w:ind w:firstLine="641"/>
        <w:rPr>
          <w:rFonts w:hint="eastAsia"/>
          <w:lang w:val="en-US" w:eastAsia="zh-CN"/>
        </w:rPr>
      </w:pPr>
      <w:r>
        <w:rPr>
          <w:rFonts w:hint="eastAsia"/>
          <w:lang w:val="en-US" w:eastAsia="zh-CN"/>
        </w:rPr>
        <w:t>8.严格落实以下治安管理细则：</w:t>
      </w:r>
    </w:p>
    <w:p w14:paraId="6C26B424">
      <w:pPr>
        <w:spacing w:line="360" w:lineRule="auto"/>
        <w:ind w:firstLine="641"/>
        <w:rPr>
          <w:rFonts w:hint="eastAsia"/>
          <w:lang w:val="en-US" w:eastAsia="zh-CN"/>
        </w:rPr>
      </w:pPr>
      <w:r>
        <w:rPr>
          <w:rFonts w:hint="eastAsia"/>
          <w:lang w:val="en-US" w:eastAsia="zh-CN"/>
        </w:rPr>
        <w:t>8.1预防制止各类治安、刑事犯罪活动，保护人身财产安全。</w:t>
      </w:r>
    </w:p>
    <w:p w14:paraId="29E2FA1B">
      <w:pPr>
        <w:spacing w:line="360" w:lineRule="auto"/>
        <w:ind w:firstLine="641"/>
        <w:rPr>
          <w:rFonts w:hint="eastAsia"/>
          <w:lang w:val="en-US" w:eastAsia="zh-CN"/>
        </w:rPr>
      </w:pPr>
      <w:r>
        <w:rPr>
          <w:rFonts w:hint="eastAsia"/>
          <w:lang w:val="en-US" w:eastAsia="zh-CN"/>
        </w:rPr>
        <w:t>8.2坚决制止非法集会、邪教活动及封建迷信行为。</w:t>
      </w:r>
    </w:p>
    <w:p w14:paraId="37C8D377">
      <w:pPr>
        <w:spacing w:line="360" w:lineRule="auto"/>
        <w:ind w:firstLine="641"/>
        <w:rPr>
          <w:rFonts w:hint="eastAsia"/>
          <w:lang w:val="en-US" w:eastAsia="zh-CN"/>
        </w:rPr>
      </w:pPr>
      <w:r>
        <w:rPr>
          <w:rFonts w:hint="eastAsia"/>
          <w:lang w:val="en-US" w:eastAsia="zh-CN"/>
        </w:rPr>
        <w:t>8.3严禁携带易燃易爆、剧毒、放射性等危险品及管制器具入场。</w:t>
      </w:r>
    </w:p>
    <w:p w14:paraId="191EF864">
      <w:pPr>
        <w:spacing w:line="360" w:lineRule="auto"/>
        <w:ind w:firstLine="641"/>
        <w:rPr>
          <w:rFonts w:hint="eastAsia"/>
          <w:lang w:val="en-US" w:eastAsia="zh-CN"/>
        </w:rPr>
      </w:pPr>
      <w:r>
        <w:rPr>
          <w:rFonts w:hint="eastAsia"/>
          <w:lang w:val="en-US" w:eastAsia="zh-CN"/>
        </w:rPr>
        <w:t>8.4制止乱摆卖、强买强卖、兜售、乞讨等影响秩序行为。</w:t>
      </w:r>
    </w:p>
    <w:p w14:paraId="4D7DA94C">
      <w:pPr>
        <w:spacing w:line="360" w:lineRule="auto"/>
        <w:ind w:firstLine="641"/>
        <w:rPr>
          <w:rFonts w:hint="eastAsia"/>
          <w:lang w:val="en-US" w:eastAsia="zh-CN"/>
        </w:rPr>
      </w:pPr>
      <w:r>
        <w:rPr>
          <w:rFonts w:hint="eastAsia"/>
          <w:lang w:val="en-US" w:eastAsia="zh-CN"/>
        </w:rPr>
        <w:t>8.5制止未经许可的商业经营、商业摄影等违规活动。</w:t>
      </w:r>
    </w:p>
    <w:p w14:paraId="5D51E946">
      <w:pPr>
        <w:spacing w:line="360" w:lineRule="auto"/>
        <w:ind w:firstLine="641"/>
        <w:rPr>
          <w:rFonts w:hint="eastAsia"/>
          <w:lang w:val="en-US" w:eastAsia="zh-CN"/>
        </w:rPr>
      </w:pPr>
      <w:r>
        <w:rPr>
          <w:rFonts w:hint="eastAsia"/>
          <w:lang w:val="en-US" w:eastAsia="zh-CN"/>
        </w:rPr>
        <w:t>8.6劝导制止随地吐痰、追逐打闹、大声喧哗等其它影响他人的不文明行为。</w:t>
      </w:r>
    </w:p>
    <w:p w14:paraId="0B0A75FC">
      <w:pPr>
        <w:spacing w:line="360" w:lineRule="auto"/>
        <w:ind w:firstLine="641"/>
        <w:rPr>
          <w:rFonts w:hint="eastAsia"/>
          <w:lang w:val="en-US" w:eastAsia="zh-CN"/>
        </w:rPr>
      </w:pPr>
      <w:r>
        <w:rPr>
          <w:rFonts w:hint="eastAsia"/>
          <w:lang w:val="en-US" w:eastAsia="zh-CN"/>
        </w:rPr>
        <w:t>9.负责辖区交通指挥疏导，保障道路畅通。指引车辆有序停放，及时纠正乱停乱放。加强停车场巡逻值守，严防车辆被盗被损。对可疑车辆进行盘查，发现问题及时报告处置。</w:t>
      </w:r>
    </w:p>
    <w:p w14:paraId="7B507597">
      <w:pPr>
        <w:spacing w:line="360" w:lineRule="auto"/>
        <w:ind w:firstLine="641"/>
        <w:rPr>
          <w:rFonts w:hint="eastAsia"/>
          <w:lang w:val="en-US" w:eastAsia="zh-CN"/>
        </w:rPr>
      </w:pPr>
      <w:r>
        <w:rPr>
          <w:rFonts w:hint="eastAsia"/>
          <w:lang w:val="en-US" w:eastAsia="zh-CN"/>
        </w:rPr>
        <w:t>10严格执行以下操作流程：</w:t>
      </w:r>
    </w:p>
    <w:p w14:paraId="63070BF3">
      <w:pPr>
        <w:spacing w:line="360" w:lineRule="auto"/>
        <w:ind w:firstLine="641"/>
        <w:rPr>
          <w:rFonts w:hint="eastAsia"/>
          <w:lang w:val="en-US" w:eastAsia="zh-CN"/>
        </w:rPr>
      </w:pPr>
      <w:r>
        <w:rPr>
          <w:rFonts w:hint="eastAsia"/>
          <w:lang w:val="en-US" w:eastAsia="zh-CN"/>
        </w:rPr>
        <w:t>10.1实行24小时不间断巡逻，采用定点值守与流动巡逻相结合方式，按规定路线、频次开展工作，做好巡逻记录，确保无死角、无盲区。</w:t>
      </w:r>
    </w:p>
    <w:p w14:paraId="63266B81">
      <w:pPr>
        <w:spacing w:line="360" w:lineRule="auto"/>
        <w:ind w:firstLine="641"/>
        <w:rPr>
          <w:rFonts w:hint="eastAsia"/>
          <w:lang w:val="en-US" w:eastAsia="zh-CN"/>
        </w:rPr>
      </w:pPr>
      <w:r>
        <w:rPr>
          <w:rFonts w:hint="eastAsia"/>
          <w:lang w:val="en-US" w:eastAsia="zh-CN"/>
        </w:rPr>
        <w:t>10.2接班人员提前到岗参加班前会。交接班时逐一交代岗位情况、未处理事项、器械设备等并签字确认。当班事件未处理完毕的，交班人员应配合处理完毕后方可离岗。</w:t>
      </w:r>
    </w:p>
    <w:p w14:paraId="74BEDC25">
      <w:pPr>
        <w:spacing w:line="360" w:lineRule="auto"/>
        <w:ind w:firstLine="641"/>
        <w:rPr>
          <w:rFonts w:hint="eastAsia"/>
          <w:lang w:val="en-US" w:eastAsia="zh-CN"/>
        </w:rPr>
      </w:pPr>
      <w:r>
        <w:rPr>
          <w:rFonts w:hint="eastAsia"/>
          <w:lang w:val="en-US" w:eastAsia="zh-CN"/>
        </w:rPr>
        <w:t>10.3严格落实出入口查验制度。严禁携带危险品及管制器具人员入场。对精神病人、乞讨人员、衣冠不整者及形迹可疑人员，礼貌劝阻谢绝入场。</w:t>
      </w:r>
    </w:p>
    <w:p w14:paraId="1F9E88E8">
      <w:pPr>
        <w:spacing w:line="360" w:lineRule="auto"/>
        <w:ind w:firstLine="641"/>
      </w:pPr>
      <w:r>
        <w:rPr>
          <w:rFonts w:hint="eastAsia"/>
          <w:lang w:val="en-US" w:eastAsia="zh-CN"/>
        </w:rPr>
        <w:t>10.4重大节假日及大型活动期间增派力量，加强巡逻警戒。人流车流高峰时段重点做好疏导工作，严防拥挤踩踏、盗窃、斗殴等事件。对乱摆卖现象集中整治，必要时联合城管、公安开展执法。</w:t>
      </w:r>
    </w:p>
    <w:p w14:paraId="30CB1D7D">
      <w:pPr>
        <w:spacing w:line="360" w:lineRule="auto"/>
        <w:ind w:firstLine="641"/>
      </w:pPr>
      <w:r>
        <w:t>（</w:t>
      </w:r>
      <w:r>
        <w:rPr>
          <w:rFonts w:hint="eastAsia"/>
          <w:lang w:val="en-US" w:eastAsia="zh-CN"/>
        </w:rPr>
        <w:t>七</w:t>
      </w:r>
      <w:r>
        <w:t>）机械器材与物料用品要求</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46"/>
        <w:gridCol w:w="5077"/>
        <w:gridCol w:w="1452"/>
      </w:tblGrid>
      <w:tr w14:paraId="60B682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7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C290B8D">
            <w:pPr>
              <w:pStyle w:val="22"/>
              <w:jc w:val="center"/>
              <w:rPr>
                <w:rFonts w:hint="default"/>
              </w:rPr>
            </w:pPr>
            <w:r>
              <w:rPr>
                <w:b/>
                <w:color w:val="000000"/>
                <w:sz w:val="21"/>
              </w:rPr>
              <w:t>设备名称</w:t>
            </w:r>
          </w:p>
        </w:tc>
        <w:tc>
          <w:tcPr>
            <w:tcW w:w="507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3AD38A6">
            <w:pPr>
              <w:pStyle w:val="22"/>
              <w:jc w:val="center"/>
              <w:rPr>
                <w:rFonts w:hint="default"/>
              </w:rPr>
            </w:pPr>
            <w:r>
              <w:rPr>
                <w:b/>
                <w:color w:val="000000"/>
                <w:sz w:val="21"/>
              </w:rPr>
              <w:t>配置要求</w:t>
            </w:r>
          </w:p>
        </w:tc>
        <w:tc>
          <w:tcPr>
            <w:tcW w:w="14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0F83B9E">
            <w:pPr>
              <w:pStyle w:val="22"/>
              <w:jc w:val="center"/>
              <w:rPr>
                <w:rFonts w:hint="default"/>
              </w:rPr>
            </w:pPr>
            <w:r>
              <w:rPr>
                <w:b/>
                <w:color w:val="000000"/>
                <w:sz w:val="21"/>
              </w:rPr>
              <w:t>备注</w:t>
            </w:r>
          </w:p>
        </w:tc>
      </w:tr>
      <w:tr w14:paraId="55438A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455CF">
            <w:pPr>
              <w:pStyle w:val="22"/>
              <w:jc w:val="center"/>
              <w:rPr>
                <w:rFonts w:hint="default"/>
              </w:rPr>
            </w:pPr>
            <w:r>
              <w:rPr>
                <w:color w:val="000000"/>
                <w:sz w:val="21"/>
              </w:rPr>
              <w:t>两轮治安巡逻车辆</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88D0E">
            <w:pPr>
              <w:pStyle w:val="22"/>
              <w:jc w:val="center"/>
              <w:rPr>
                <w:rFonts w:hint="default"/>
              </w:rPr>
            </w:pPr>
            <w:r>
              <w:rPr>
                <w:color w:val="000000"/>
                <w:sz w:val="21"/>
              </w:rPr>
              <w:t>配置治安巡查标识等，最高时速不低于</w:t>
            </w:r>
            <w:r>
              <w:rPr>
                <w:rFonts w:hint="eastAsia"/>
                <w:color w:val="000000"/>
                <w:sz w:val="21"/>
                <w:lang w:val="en-US" w:eastAsia="zh-CN"/>
              </w:rPr>
              <w:t>25</w:t>
            </w:r>
            <w:r>
              <w:rPr>
                <w:color w:val="000000"/>
                <w:sz w:val="21"/>
              </w:rPr>
              <w:t>公里</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3E144E">
            <w:pPr>
              <w:pStyle w:val="22"/>
              <w:jc w:val="center"/>
              <w:rPr>
                <w:rFonts w:hint="default"/>
              </w:rPr>
            </w:pPr>
            <w:r>
              <w:rPr>
                <w:color w:val="000000"/>
                <w:sz w:val="21"/>
              </w:rPr>
              <w:t>≥</w:t>
            </w:r>
            <w:r>
              <w:rPr>
                <w:rFonts w:hint="eastAsia"/>
                <w:color w:val="000000"/>
                <w:sz w:val="21"/>
                <w:lang w:val="en-US" w:eastAsia="zh-CN"/>
              </w:rPr>
              <w:t>8</w:t>
            </w:r>
            <w:r>
              <w:rPr>
                <w:color w:val="000000"/>
                <w:sz w:val="21"/>
              </w:rPr>
              <w:t>台</w:t>
            </w:r>
          </w:p>
        </w:tc>
      </w:tr>
      <w:tr w14:paraId="3AD543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7909A">
            <w:pPr>
              <w:pStyle w:val="22"/>
              <w:jc w:val="center"/>
              <w:rPr>
                <w:rFonts w:hint="default"/>
              </w:rPr>
            </w:pPr>
            <w:r>
              <w:rPr>
                <w:color w:val="000000"/>
                <w:sz w:val="21"/>
              </w:rPr>
              <w:t>四轮治安巡逻车辆</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E2433">
            <w:pPr>
              <w:pStyle w:val="22"/>
              <w:jc w:val="center"/>
              <w:rPr>
                <w:rFonts w:hint="default"/>
              </w:rPr>
            </w:pPr>
            <w:r>
              <w:rPr>
                <w:color w:val="000000"/>
                <w:sz w:val="21"/>
              </w:rPr>
              <w:t>不少于4个座位，配置治安巡查标识等，可载货，最高时速不低于</w:t>
            </w:r>
            <w:r>
              <w:rPr>
                <w:rFonts w:hint="eastAsia"/>
                <w:color w:val="000000"/>
                <w:sz w:val="21"/>
                <w:lang w:val="en-US" w:eastAsia="zh-CN"/>
              </w:rPr>
              <w:t>30</w:t>
            </w:r>
            <w:r>
              <w:rPr>
                <w:color w:val="000000"/>
                <w:sz w:val="21"/>
              </w:rPr>
              <w:t>公里</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120081">
            <w:pPr>
              <w:pStyle w:val="22"/>
              <w:jc w:val="center"/>
              <w:rPr>
                <w:rFonts w:hint="default"/>
              </w:rPr>
            </w:pPr>
            <w:r>
              <w:rPr>
                <w:color w:val="000000"/>
                <w:sz w:val="21"/>
              </w:rPr>
              <w:t>≥</w:t>
            </w:r>
            <w:r>
              <w:rPr>
                <w:rFonts w:hint="eastAsia"/>
                <w:color w:val="000000"/>
                <w:sz w:val="21"/>
                <w:lang w:val="en-US" w:eastAsia="zh-CN"/>
              </w:rPr>
              <w:t>2</w:t>
            </w:r>
            <w:r>
              <w:rPr>
                <w:color w:val="000000"/>
                <w:sz w:val="21"/>
              </w:rPr>
              <w:t>台</w:t>
            </w:r>
          </w:p>
        </w:tc>
      </w:tr>
      <w:tr w14:paraId="791984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B16D9F">
            <w:pPr>
              <w:pStyle w:val="22"/>
              <w:jc w:val="center"/>
              <w:rPr>
                <w:rFonts w:hint="default"/>
              </w:rPr>
            </w:pPr>
            <w:r>
              <w:rPr>
                <w:color w:val="000000"/>
                <w:sz w:val="21"/>
              </w:rPr>
              <w:t>对讲机</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FBD20B">
            <w:pPr>
              <w:pStyle w:val="22"/>
              <w:jc w:val="center"/>
              <w:rPr>
                <w:rFonts w:hint="default"/>
              </w:rPr>
            </w:pPr>
            <w:r>
              <w:rPr>
                <w:color w:val="000000"/>
                <w:sz w:val="21"/>
              </w:rPr>
              <w:t>每个岗位至少配备1台，需接入</w:t>
            </w:r>
            <w:r>
              <w:rPr>
                <w:rFonts w:hint="eastAsia"/>
                <w:color w:val="000000"/>
                <w:sz w:val="21"/>
                <w:lang w:val="en-US" w:eastAsia="zh-CN"/>
              </w:rPr>
              <w:t>采购人</w:t>
            </w:r>
            <w:r>
              <w:rPr>
                <w:color w:val="000000"/>
                <w:sz w:val="21"/>
              </w:rPr>
              <w:t>对讲机系统，含耳机线及充电插座</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640B83">
            <w:pPr>
              <w:pStyle w:val="22"/>
              <w:jc w:val="center"/>
              <w:rPr>
                <w:rFonts w:hint="default"/>
              </w:rPr>
            </w:pPr>
            <w:r>
              <w:rPr>
                <w:color w:val="000000"/>
                <w:sz w:val="21"/>
              </w:rPr>
              <w:t>按需</w:t>
            </w:r>
          </w:p>
        </w:tc>
      </w:tr>
      <w:tr w14:paraId="589FCF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E8AB46">
            <w:pPr>
              <w:pStyle w:val="22"/>
              <w:jc w:val="center"/>
              <w:rPr>
                <w:rFonts w:hint="default"/>
              </w:rPr>
            </w:pPr>
            <w:r>
              <w:rPr>
                <w:color w:val="000000"/>
                <w:sz w:val="21"/>
              </w:rPr>
              <w:t>防暴器材</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9E536C">
            <w:pPr>
              <w:pStyle w:val="22"/>
              <w:jc w:val="center"/>
              <w:rPr>
                <w:rFonts w:hint="default"/>
              </w:rPr>
            </w:pPr>
            <w:r>
              <w:rPr>
                <w:color w:val="000000"/>
                <w:sz w:val="21"/>
              </w:rPr>
              <w:t>依照属地公安机关要求配置</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BD151A">
            <w:pPr>
              <w:pStyle w:val="22"/>
              <w:jc w:val="center"/>
              <w:rPr>
                <w:rFonts w:hint="default"/>
              </w:rPr>
            </w:pPr>
            <w:r>
              <w:rPr>
                <w:color w:val="000000"/>
                <w:sz w:val="21"/>
              </w:rPr>
              <w:t>按需</w:t>
            </w:r>
          </w:p>
        </w:tc>
      </w:tr>
      <w:tr w14:paraId="795FA3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D1B0DB">
            <w:pPr>
              <w:pStyle w:val="22"/>
              <w:jc w:val="center"/>
              <w:rPr>
                <w:rFonts w:hint="default"/>
              </w:rPr>
            </w:pPr>
            <w:r>
              <w:rPr>
                <w:color w:val="000000"/>
                <w:sz w:val="21"/>
              </w:rPr>
              <w:t>水马</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02FA24">
            <w:pPr>
              <w:pStyle w:val="22"/>
              <w:jc w:val="center"/>
              <w:rPr>
                <w:rFonts w:hint="default"/>
              </w:rPr>
            </w:pPr>
            <w:r>
              <w:rPr>
                <w:color w:val="000000"/>
                <w:sz w:val="21"/>
              </w:rPr>
              <w:t>统一规格，统一颜色，统一标识</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250BBD8">
            <w:pPr>
              <w:pStyle w:val="22"/>
              <w:jc w:val="center"/>
              <w:rPr>
                <w:rFonts w:hint="default"/>
              </w:rPr>
            </w:pPr>
            <w:r>
              <w:rPr>
                <w:color w:val="000000"/>
                <w:sz w:val="21"/>
              </w:rPr>
              <w:t>按需（具有储备能力）</w:t>
            </w:r>
          </w:p>
        </w:tc>
      </w:tr>
      <w:tr w14:paraId="15F5AC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898F39">
            <w:pPr>
              <w:pStyle w:val="22"/>
              <w:jc w:val="center"/>
              <w:rPr>
                <w:rFonts w:hint="eastAsia" w:eastAsiaTheme="minorEastAsia"/>
                <w:lang w:eastAsia="zh-CN"/>
              </w:rPr>
            </w:pPr>
            <w:r>
              <w:rPr>
                <w:color w:val="000000"/>
                <w:sz w:val="21"/>
              </w:rPr>
              <w:t>反光锥</w:t>
            </w:r>
            <w:r>
              <w:rPr>
                <w:rFonts w:hint="eastAsia"/>
                <w:color w:val="000000"/>
                <w:sz w:val="21"/>
                <w:lang w:eastAsia="zh-CN"/>
              </w:rPr>
              <w:t>、</w:t>
            </w:r>
            <w:r>
              <w:rPr>
                <w:color w:val="000000"/>
                <w:sz w:val="21"/>
              </w:rPr>
              <w:t>警示带</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71D58C">
            <w:pPr>
              <w:pStyle w:val="22"/>
              <w:jc w:val="center"/>
              <w:rPr>
                <w:rFonts w:hint="default"/>
              </w:rPr>
            </w:pPr>
            <w:r>
              <w:rPr>
                <w:color w:val="000000"/>
                <w:sz w:val="21"/>
              </w:rPr>
              <w:t>统一规格，统一颜色，统一标识</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C24362">
            <w:pPr>
              <w:pStyle w:val="22"/>
              <w:jc w:val="center"/>
              <w:rPr>
                <w:rFonts w:hint="default"/>
              </w:rPr>
            </w:pPr>
            <w:r>
              <w:rPr>
                <w:color w:val="000000"/>
                <w:sz w:val="21"/>
              </w:rPr>
              <w:t>按需</w:t>
            </w:r>
          </w:p>
        </w:tc>
      </w:tr>
      <w:tr w14:paraId="3D7F06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4D1483">
            <w:pPr>
              <w:pStyle w:val="22"/>
              <w:jc w:val="center"/>
              <w:rPr>
                <w:rFonts w:hint="default"/>
              </w:rPr>
            </w:pPr>
            <w:r>
              <w:rPr>
                <w:color w:val="000000"/>
                <w:sz w:val="21"/>
              </w:rPr>
              <w:t>礼宾杆</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166A9C8">
            <w:pPr>
              <w:pStyle w:val="22"/>
              <w:jc w:val="center"/>
              <w:rPr>
                <w:rFonts w:hint="default"/>
              </w:rPr>
            </w:pPr>
            <w:r>
              <w:rPr>
                <w:color w:val="000000"/>
                <w:sz w:val="21"/>
              </w:rPr>
              <w:t>统一规格，统一颜色，统一标识</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2D07C6">
            <w:pPr>
              <w:pStyle w:val="22"/>
              <w:jc w:val="center"/>
              <w:rPr>
                <w:rFonts w:hint="default"/>
              </w:rPr>
            </w:pPr>
            <w:r>
              <w:rPr>
                <w:color w:val="000000"/>
                <w:sz w:val="21"/>
              </w:rPr>
              <w:t>按需</w:t>
            </w:r>
          </w:p>
        </w:tc>
      </w:tr>
      <w:tr w14:paraId="63B988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7F80C1">
            <w:pPr>
              <w:pStyle w:val="22"/>
              <w:jc w:val="center"/>
              <w:rPr>
                <w:rFonts w:hint="default"/>
                <w:lang w:val="en-US"/>
              </w:rPr>
            </w:pPr>
            <w:r>
              <w:rPr>
                <w:color w:val="000000"/>
                <w:sz w:val="21"/>
              </w:rPr>
              <w:t>防汛沙袋等</w:t>
            </w:r>
            <w:r>
              <w:rPr>
                <w:rFonts w:hint="eastAsia"/>
                <w:color w:val="000000"/>
                <w:sz w:val="21"/>
                <w:lang w:val="en-US" w:eastAsia="zh-CN"/>
              </w:rPr>
              <w:t>防汛物资</w:t>
            </w:r>
          </w:p>
        </w:tc>
        <w:tc>
          <w:tcPr>
            <w:tcW w:w="50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5F651C">
            <w:pPr>
              <w:pStyle w:val="22"/>
              <w:jc w:val="center"/>
              <w:rPr>
                <w:rFonts w:hint="default"/>
              </w:rPr>
            </w:pPr>
            <w:r>
              <w:rPr>
                <w:color w:val="000000"/>
                <w:sz w:val="21"/>
              </w:rPr>
              <w:t>统一规格，统一颜色，统一标识</w:t>
            </w:r>
          </w:p>
        </w:tc>
        <w:tc>
          <w:tcPr>
            <w:tcW w:w="14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197118">
            <w:pPr>
              <w:pStyle w:val="22"/>
              <w:jc w:val="center"/>
              <w:rPr>
                <w:rFonts w:hint="default"/>
              </w:rPr>
            </w:pPr>
            <w:r>
              <w:rPr>
                <w:color w:val="000000"/>
                <w:sz w:val="21"/>
              </w:rPr>
              <w:t>按需</w:t>
            </w:r>
          </w:p>
        </w:tc>
      </w:tr>
    </w:tbl>
    <w:p w14:paraId="52DE7317">
      <w:pPr>
        <w:spacing w:line="360" w:lineRule="auto"/>
        <w:ind w:firstLine="641"/>
        <w:rPr>
          <w:rFonts w:hint="default" w:eastAsiaTheme="minorEastAsia"/>
          <w:lang w:val="en-US" w:eastAsia="zh-CN"/>
        </w:rPr>
      </w:pPr>
      <w:r>
        <w:rPr>
          <w:rFonts w:hint="eastAsia"/>
          <w:lang w:eastAsia="zh-CN"/>
        </w:rPr>
        <w:t>（</w:t>
      </w:r>
      <w:r>
        <w:rPr>
          <w:rFonts w:hint="eastAsia"/>
          <w:lang w:val="en-US" w:eastAsia="zh-CN"/>
        </w:rPr>
        <w:t>八</w:t>
      </w:r>
      <w:r>
        <w:rPr>
          <w:rFonts w:hint="eastAsia"/>
          <w:lang w:eastAsia="zh-CN"/>
        </w:rPr>
        <w:t>）</w:t>
      </w:r>
      <w:r>
        <w:rPr>
          <w:rFonts w:hint="eastAsia"/>
          <w:lang w:val="en-US" w:eastAsia="zh-CN"/>
        </w:rPr>
        <w:t>大型活动人员支持</w:t>
      </w:r>
    </w:p>
    <w:p w14:paraId="7D76A7F8">
      <w:pPr>
        <w:spacing w:line="360" w:lineRule="auto"/>
        <w:ind w:firstLine="641"/>
        <w:rPr>
          <w:rFonts w:hint="default" w:eastAsiaTheme="minorEastAsia"/>
          <w:lang w:val="en-US" w:eastAsia="zh-CN"/>
        </w:rPr>
      </w:pPr>
      <w:r>
        <w:rPr>
          <w:rFonts w:hint="eastAsia"/>
          <w:lang w:val="en-US" w:eastAsia="zh-CN"/>
        </w:rPr>
        <w:t>采购人在举办大型活动（万人以上，含演艺活动、体育赛事活动）时，中标人应按照采购人的工作需求，增派临时安保人员，由采购人按不超过320元/8小时/人的单价标准另行据实支付。具体增派需求和实际增派情况应由采购人主管部门负责人、中标人项目负责人员共同签字确认。</w:t>
      </w:r>
    </w:p>
    <w:p w14:paraId="0BC4EDB2">
      <w:pPr>
        <w:spacing w:line="360" w:lineRule="auto"/>
        <w:ind w:firstLine="641"/>
      </w:pPr>
      <w:r>
        <w:t>（</w:t>
      </w:r>
      <w:r>
        <w:rPr>
          <w:rFonts w:hint="eastAsia"/>
          <w:lang w:val="en-US" w:eastAsia="zh-CN"/>
        </w:rPr>
        <w:t>九</w:t>
      </w:r>
      <w:r>
        <w:t>）其它</w:t>
      </w:r>
      <w:r>
        <w:rPr>
          <w:rFonts w:hint="eastAsia"/>
        </w:rPr>
        <w:t>要求</w:t>
      </w:r>
    </w:p>
    <w:p w14:paraId="531BBE57">
      <w:pPr>
        <w:spacing w:line="360" w:lineRule="auto"/>
        <w:ind w:firstLine="641"/>
        <w:rPr>
          <w:rFonts w:hint="eastAsia"/>
          <w:lang w:val="en-US" w:eastAsia="zh-CN"/>
        </w:rPr>
      </w:pPr>
      <w:r>
        <w:rPr>
          <w:rFonts w:hint="eastAsia"/>
          <w:lang w:val="en-US" w:eastAsia="zh-CN"/>
        </w:rPr>
        <w:t>1.采购人可以根据实际工作情况作出岗位调整，中标人须服从采购人合理的工作要求。</w:t>
      </w:r>
    </w:p>
    <w:p w14:paraId="0E84D666">
      <w:pPr>
        <w:spacing w:line="360" w:lineRule="auto"/>
        <w:ind w:firstLine="641"/>
        <w:rPr>
          <w:rFonts w:hint="eastAsia"/>
          <w:lang w:val="en-US" w:eastAsia="zh-CN"/>
        </w:rPr>
      </w:pPr>
      <w:r>
        <w:rPr>
          <w:rFonts w:hint="eastAsia"/>
          <w:lang w:val="en-US" w:eastAsia="zh-CN"/>
        </w:rPr>
        <w:t>2.中标人应具有临时活动保卫经验（300人安保力量以上，中标人需提供临时活动保安服务合同扫描件），且遇突发情况时有能力在30分钟内紧急抽调300人以上人员到达现场进行秩序维护。</w:t>
      </w:r>
    </w:p>
    <w:p w14:paraId="6AD741BD">
      <w:pPr>
        <w:spacing w:line="360" w:lineRule="auto"/>
        <w:ind w:firstLine="641"/>
      </w:pPr>
      <w:r>
        <w:rPr>
          <w:rFonts w:hint="eastAsia"/>
          <w:lang w:val="en-US" w:eastAsia="zh-CN"/>
        </w:rPr>
        <w:t>3.合规用工与责任承担：</w:t>
      </w:r>
      <w:r>
        <w:rPr>
          <w:rFonts w:hint="eastAsia"/>
        </w:rPr>
        <w:t>中标</w:t>
      </w:r>
      <w:r>
        <w:rPr>
          <w:rFonts w:hint="eastAsia"/>
          <w:lang w:eastAsia="zh-CN"/>
        </w:rPr>
        <w:t>投标人</w:t>
      </w:r>
      <w:r>
        <w:rPr>
          <w:rFonts w:hint="eastAsia"/>
        </w:rPr>
        <w:t>应按照国家法律法规，</w:t>
      </w:r>
      <w:r>
        <w:rPr>
          <w:rFonts w:hint="eastAsia"/>
          <w:lang w:val="en-US" w:eastAsia="zh-CN"/>
        </w:rPr>
        <w:t>依法经营、规范用工，足额缴纳社保，承担员工全部工资福利；劳资纠纷、相关损失及责任均由中标方自行承担。若劳资纠纷影响采购人正常工作，采购人可另行聘人，费用从当月服务费中抵扣。</w:t>
      </w:r>
    </w:p>
    <w:p w14:paraId="66F6D394">
      <w:pPr>
        <w:spacing w:line="360" w:lineRule="auto"/>
        <w:ind w:firstLine="641"/>
        <w:rPr>
          <w:rFonts w:hint="eastAsia"/>
        </w:rPr>
      </w:pPr>
      <w:r>
        <w:rPr>
          <w:rFonts w:hint="eastAsia"/>
          <w:lang w:val="en-US" w:eastAsia="zh-CN"/>
        </w:rPr>
        <w:t>4.</w:t>
      </w:r>
      <w:r>
        <w:rPr>
          <w:rFonts w:hint="eastAsia"/>
        </w:rPr>
        <w:t>前期资料提交</w:t>
      </w:r>
      <w:r>
        <w:rPr>
          <w:rFonts w:hint="eastAsia"/>
          <w:lang w:eastAsia="zh-CN"/>
        </w:rPr>
        <w:t>：</w:t>
      </w:r>
      <w:r>
        <w:rPr>
          <w:rFonts w:hint="eastAsia"/>
          <w:lang w:val="en-US" w:eastAsia="zh-CN"/>
        </w:rPr>
        <w:t>合同签订10日内，提交服务方案、应急预案、管理制度、人员名单及劳动合同。</w:t>
      </w:r>
    </w:p>
    <w:p w14:paraId="18005EFF">
      <w:pPr>
        <w:spacing w:line="360" w:lineRule="auto"/>
        <w:ind w:firstLine="641"/>
        <w:rPr>
          <w:rFonts w:hint="eastAsia"/>
        </w:rPr>
      </w:pPr>
      <w:r>
        <w:rPr>
          <w:rFonts w:hint="eastAsia"/>
          <w:lang w:val="en-US" w:eastAsia="zh-CN"/>
        </w:rPr>
        <w:t>5.</w:t>
      </w:r>
      <w:r>
        <w:rPr>
          <w:rFonts w:hint="eastAsia"/>
        </w:rPr>
        <w:t>日常管理规范</w:t>
      </w:r>
      <w:r>
        <w:rPr>
          <w:rFonts w:hint="eastAsia"/>
          <w:lang w:eastAsia="zh-CN"/>
        </w:rPr>
        <w:t>：</w:t>
      </w:r>
      <w:r>
        <w:rPr>
          <w:rFonts w:hint="eastAsia"/>
        </w:rPr>
        <w:t>中标</w:t>
      </w:r>
      <w:r>
        <w:rPr>
          <w:rFonts w:hint="eastAsia"/>
          <w:lang w:eastAsia="zh-CN"/>
        </w:rPr>
        <w:t>投标人</w:t>
      </w:r>
      <w:r>
        <w:rPr>
          <w:rFonts w:hint="eastAsia"/>
        </w:rPr>
        <w:t>应</w:t>
      </w:r>
      <w:r>
        <w:rPr>
          <w:rFonts w:hint="eastAsia"/>
          <w:lang w:val="en-US" w:eastAsia="zh-CN"/>
        </w:rPr>
        <w:t>服从采购人管理，遵守各项规章制度，不得干扰正常办公秩序；落实采购人指导意见及整改要求。</w:t>
      </w:r>
    </w:p>
    <w:p w14:paraId="7CAA00F5">
      <w:pPr>
        <w:spacing w:line="360" w:lineRule="auto"/>
        <w:ind w:firstLine="641"/>
      </w:pPr>
      <w:r>
        <w:rPr>
          <w:rFonts w:hint="eastAsia"/>
          <w:lang w:val="en-US" w:eastAsia="zh-CN"/>
        </w:rPr>
        <w:t>6.人员增派：采购人因工作需要增加或者减少工作岗位，中标人应按照现服务需求条款给予补充或者减少人员。采购人提前3天书面告知中标人，人员服务费用按不超过320元/8小时/人的单价标准由采购人另行据实支付；若需长期增派，人员服务费用按不超过7200元/月/人（8小时工作制）的单价标准由采购人另行据实支付（上述人员服务单价已包含双休日加班费、法定节假日加班费、社保费、税费等合理费用）。</w:t>
      </w:r>
    </w:p>
    <w:p w14:paraId="4A2DB1A8">
      <w:pPr>
        <w:spacing w:line="360" w:lineRule="auto"/>
        <w:ind w:firstLine="641"/>
        <w:rPr>
          <w:rFonts w:hint="eastAsia"/>
          <w:lang w:val="en-US" w:eastAsia="zh-CN"/>
        </w:rPr>
      </w:pPr>
      <w:r>
        <w:rPr>
          <w:rFonts w:hint="eastAsia"/>
          <w:lang w:val="en-US" w:eastAsia="zh-CN"/>
        </w:rPr>
        <w:t>7.作业与物资规范：工作人员统一着装、佩戴工牌及对讲机；服务过程中所需车辆、对讲机、防暴器材、劳保用品等由中标方自行配置并承担费用。</w:t>
      </w:r>
    </w:p>
    <w:p w14:paraId="076BA08B">
      <w:pPr>
        <w:spacing w:line="360" w:lineRule="auto"/>
        <w:ind w:firstLine="641"/>
        <w:rPr>
          <w:rFonts w:hint="default"/>
          <w:lang w:val="en-US"/>
        </w:rPr>
      </w:pPr>
      <w:r>
        <w:rPr>
          <w:rFonts w:hint="eastAsia"/>
          <w:lang w:val="en-US" w:eastAsia="zh-CN"/>
        </w:rPr>
        <w:t>8.</w:t>
      </w:r>
      <w:r>
        <w:rPr>
          <w:rFonts w:hint="eastAsia"/>
        </w:rPr>
        <w:t>人员与安全管理</w:t>
      </w:r>
      <w:r>
        <w:rPr>
          <w:rFonts w:hint="eastAsia"/>
          <w:lang w:eastAsia="zh-CN"/>
        </w:rPr>
        <w:t>：</w:t>
      </w:r>
      <w:r>
        <w:rPr>
          <w:rFonts w:hint="eastAsia"/>
          <w:lang w:val="en-US" w:eastAsia="zh-CN"/>
        </w:rPr>
        <w:t>中标投标人应采用科学管理模式，推进项目信息化、智能化管控。同时保持人员相对稳定，更换项目管理人员需提前7个工作日书面报备并经采购人同意；服务不达标的，采购人有权要求更换管理人员。同时，中标人应保持保安员队伍的相对稳定，每月人员流动数量不得超过实际在岗保安员总数量的10%（上岗天数不足7天的除外）。</w:t>
      </w:r>
    </w:p>
    <w:p w14:paraId="7936C7FF">
      <w:pPr>
        <w:spacing w:line="360" w:lineRule="auto"/>
        <w:ind w:firstLine="641"/>
      </w:pPr>
      <w:r>
        <w:rPr>
          <w:rFonts w:hint="eastAsia"/>
          <w:lang w:val="en-US" w:eastAsia="zh-CN"/>
        </w:rPr>
        <w:t>9.</w:t>
      </w:r>
      <w:r>
        <w:rPr>
          <w:rFonts w:hint="eastAsia"/>
        </w:rPr>
        <w:t>中标人应定期组织全体服务人员开展如岗前培训教育（包括但不仅限于初期火灾应急处置、反恐演练、心肺复苏和AED使用培训等岗位技能培训）等培训活动。且每季度至少组织3次日常训练（含队列、消防演练、反恐防暴演练等），每年至少组织开展</w:t>
      </w:r>
      <w:r>
        <w:rPr>
          <w:rFonts w:hint="eastAsia"/>
          <w:lang w:val="en-US" w:eastAsia="zh-CN"/>
        </w:rPr>
        <w:t>1</w:t>
      </w:r>
      <w:r>
        <w:rPr>
          <w:rFonts w:hint="eastAsia"/>
        </w:rPr>
        <w:t>次突发心搏骤停的应急演练培训。培训演练情况要建立台账档案，并及时向采购人报备。</w:t>
      </w:r>
    </w:p>
    <w:p w14:paraId="15E7C595">
      <w:pPr>
        <w:spacing w:line="360" w:lineRule="auto"/>
        <w:ind w:firstLine="641"/>
        <w:rPr>
          <w:lang w:val="en-US" w:eastAsia="zh-CN"/>
        </w:rPr>
      </w:pPr>
      <w:r>
        <w:rPr>
          <w:rFonts w:hint="eastAsia"/>
          <w:lang w:val="en-US" w:eastAsia="zh-CN"/>
        </w:rPr>
        <w:t>10.</w:t>
      </w:r>
      <w:r>
        <w:t>政策适配</w:t>
      </w:r>
      <w:r>
        <w:rPr>
          <w:rFonts w:hint="eastAsia"/>
          <w:lang w:eastAsia="zh-CN"/>
        </w:rPr>
        <w:t>：</w:t>
      </w:r>
      <w:r>
        <w:rPr>
          <w:rFonts w:hint="eastAsia"/>
        </w:rPr>
        <w:t>国家或属地政策对</w:t>
      </w:r>
      <w:r>
        <w:rPr>
          <w:rFonts w:hint="eastAsia"/>
          <w:lang w:val="en-US" w:eastAsia="zh-CN"/>
        </w:rPr>
        <w:t>安保</w:t>
      </w:r>
      <w:r>
        <w:rPr>
          <w:rFonts w:hint="eastAsia"/>
        </w:rPr>
        <w:t>持证</w:t>
      </w:r>
      <w:r>
        <w:rPr>
          <w:rFonts w:hint="eastAsia"/>
          <w:lang w:val="en-US" w:eastAsia="zh-CN"/>
        </w:rPr>
        <w:t>上岗</w:t>
      </w:r>
      <w:r>
        <w:rPr>
          <w:rFonts w:hint="eastAsia"/>
        </w:rPr>
        <w:t>情况有更新要求的，按最新要求执行，</w:t>
      </w:r>
      <w:r>
        <w:rPr>
          <w:rFonts w:hint="eastAsia"/>
          <w:lang w:val="en-US" w:eastAsia="zh-CN"/>
        </w:rPr>
        <w:t>由此</w:t>
      </w:r>
      <w:r>
        <w:rPr>
          <w:lang w:val="en-US" w:eastAsia="zh-CN"/>
        </w:rPr>
        <w:t>新增</w:t>
      </w:r>
      <w:r>
        <w:rPr>
          <w:rFonts w:hint="eastAsia"/>
          <w:lang w:val="en-US" w:eastAsia="zh-CN"/>
        </w:rPr>
        <w:t>的</w:t>
      </w:r>
      <w:r>
        <w:rPr>
          <w:lang w:val="en-US" w:eastAsia="zh-CN"/>
        </w:rPr>
        <w:t>费用由中标方承担。</w:t>
      </w:r>
    </w:p>
    <w:p w14:paraId="4C72E9C1">
      <w:pPr>
        <w:spacing w:line="360" w:lineRule="auto"/>
        <w:ind w:firstLine="641"/>
        <w:rPr>
          <w:rFonts w:hint="eastAsia"/>
        </w:rPr>
      </w:pPr>
      <w:r>
        <w:rPr>
          <w:rFonts w:hint="eastAsia"/>
          <w:lang w:val="en-US" w:eastAsia="zh-CN"/>
        </w:rPr>
        <w:t>11.追责情形：</w:t>
      </w:r>
      <w:r>
        <w:rPr>
          <w:lang w:val="en-US" w:eastAsia="zh-CN"/>
        </w:rPr>
        <w:t>因管理不善、违规操作引发工伤、治安、火灾等事故，全部法律及经济责任由中标方承担，采购人有权延付经费、追责索赔。因失职导致</w:t>
      </w:r>
      <w:r>
        <w:rPr>
          <w:rFonts w:hint="eastAsia"/>
          <w:lang w:val="en-US" w:eastAsia="zh-CN"/>
        </w:rPr>
        <w:t>设备</w:t>
      </w:r>
      <w:r>
        <w:rPr>
          <w:lang w:val="en-US" w:eastAsia="zh-CN"/>
        </w:rPr>
        <w:t>系统故障、火灾事故或损失扩大，中标方承担全部法律及经济赔偿。</w:t>
      </w:r>
      <w:r>
        <w:rPr>
          <w:rFonts w:hint="eastAsia"/>
          <w:lang w:val="en-US" w:eastAsia="zh-CN"/>
        </w:rPr>
        <w:t>同时，</w:t>
      </w:r>
      <w:r>
        <w:rPr>
          <w:rFonts w:hint="eastAsia"/>
        </w:rPr>
        <w:t>采购人保留延迟支付经费及追究法律责任的权利。</w:t>
      </w:r>
    </w:p>
    <w:p w14:paraId="16CAD1F2">
      <w:pPr>
        <w:spacing w:line="360" w:lineRule="auto"/>
        <w:ind w:firstLine="641"/>
        <w:rPr>
          <w:rFonts w:hint="eastAsia"/>
          <w:lang w:val="en-US" w:eastAsia="zh-CN"/>
        </w:rPr>
      </w:pPr>
      <w:r>
        <w:rPr>
          <w:rFonts w:hint="eastAsia"/>
          <w:lang w:val="en-US" w:eastAsia="zh-CN"/>
        </w:rPr>
        <w:t>12.</w:t>
      </w:r>
      <w:r>
        <w:rPr>
          <w:rFonts w:hint="eastAsia"/>
        </w:rPr>
        <w:t>期满交接要求</w:t>
      </w:r>
      <w:r>
        <w:rPr>
          <w:rFonts w:hint="eastAsia"/>
          <w:lang w:eastAsia="zh-CN"/>
        </w:rPr>
        <w:t>：</w:t>
      </w:r>
      <w:r>
        <w:rPr>
          <w:rFonts w:hint="eastAsia"/>
          <w:lang w:val="en-US" w:eastAsia="zh-CN"/>
        </w:rPr>
        <w:t>服务期满提前7天备齐交接资料，配合后续交接工作，不得阻碍正常运转；采购人不承担任何交接费用。</w:t>
      </w:r>
    </w:p>
    <w:p w14:paraId="75BC51D2">
      <w:pPr>
        <w:spacing w:line="360" w:lineRule="auto"/>
        <w:ind w:firstLine="641"/>
        <w:rPr>
          <w:rFonts w:hint="eastAsia"/>
          <w:lang w:val="en-US" w:eastAsia="zh-CN"/>
        </w:rPr>
      </w:pPr>
      <w:r>
        <w:rPr>
          <w:rFonts w:hint="eastAsia"/>
          <w:lang w:val="en-US" w:eastAsia="zh-CN"/>
        </w:rPr>
        <w:t>13保密义务：严格保密采购人信息，未经书面许可不得外泄；违者采购人保留追责权利。</w:t>
      </w:r>
    </w:p>
    <w:p w14:paraId="7EF732BC">
      <w:pPr>
        <w:spacing w:line="360" w:lineRule="auto"/>
        <w:ind w:firstLine="641"/>
        <w:rPr>
          <w:rFonts w:hint="default"/>
          <w:lang w:val="en-US"/>
        </w:rPr>
      </w:pPr>
      <w:r>
        <w:rPr>
          <w:rFonts w:hint="eastAsia"/>
          <w:lang w:val="en-US" w:eastAsia="zh-CN"/>
        </w:rPr>
        <w:t>14队伍建设：中标人加强队伍建设，完善考核奖惩机制，定期对在岗服务人员进行考核，至少每季度对表现优异的服务人员进行表彰和奖励，对违反工作纪律等规定的服务人员进行批评或处罚。奖惩形式不限，中标人应每季度将有关情况报备采购人。</w:t>
      </w:r>
    </w:p>
    <w:p w14:paraId="77159582">
      <w:pPr>
        <w:ind w:firstLine="560" w:firstLineChars="200"/>
        <w:rPr>
          <w:rFonts w:ascii="黑体" w:hAnsi="黑体" w:eastAsia="黑体"/>
          <w:sz w:val="28"/>
        </w:rPr>
      </w:pPr>
      <w:r>
        <w:rPr>
          <w:rFonts w:hint="eastAsia" w:ascii="黑体" w:hAnsi="黑体" w:eastAsia="黑体"/>
          <w:sz w:val="28"/>
        </w:rPr>
        <w:t>五、服务质量</w:t>
      </w:r>
      <w:r>
        <w:rPr>
          <w:rFonts w:hint="eastAsia" w:ascii="黑体" w:hAnsi="黑体" w:eastAsia="黑体"/>
          <w:sz w:val="28"/>
          <w:lang w:val="en-US" w:eastAsia="zh-CN"/>
        </w:rPr>
        <w:t>成果验收</w:t>
      </w:r>
      <w:r>
        <w:rPr>
          <w:rFonts w:hint="eastAsia" w:ascii="黑体" w:hAnsi="黑体" w:eastAsia="黑体"/>
          <w:sz w:val="28"/>
        </w:rPr>
        <w:t>、考核与处罚</w:t>
      </w:r>
    </w:p>
    <w:p w14:paraId="0D14F29B">
      <w:pPr>
        <w:spacing w:line="360" w:lineRule="auto"/>
        <w:ind w:firstLine="641"/>
        <w:rPr>
          <w:rFonts w:hint="eastAsia"/>
          <w:lang w:val="en-US" w:eastAsia="zh-CN"/>
        </w:rPr>
      </w:pPr>
      <w:r>
        <w:rPr>
          <w:rFonts w:hint="eastAsia"/>
          <w:lang w:val="en-US" w:eastAsia="zh-CN"/>
        </w:rPr>
        <w:t>1. 违规处置（涉及薪酬、社保及资金使用）：</w:t>
      </w:r>
    </w:p>
    <w:p w14:paraId="1473AE3D">
      <w:pPr>
        <w:spacing w:line="360" w:lineRule="auto"/>
        <w:ind w:firstLine="641"/>
        <w:rPr>
          <w:rFonts w:hint="eastAsia"/>
          <w:lang w:val="en-US" w:eastAsia="zh-CN"/>
        </w:rPr>
      </w:pPr>
      <w:r>
        <w:rPr>
          <w:rFonts w:hint="eastAsia"/>
          <w:lang w:val="en-US" w:eastAsia="zh-CN"/>
        </w:rPr>
        <w:t>1.1中标人存在服务人员实际薪酬低于岗位最低标准、未按要求购买社保公积金、未足额支付加班费等情形的，采购人有权责令改正、终止服务、追回已拨付资金，构成违法犯罪的，依法追究责任。</w:t>
      </w:r>
    </w:p>
    <w:p w14:paraId="4E91F8B6">
      <w:pPr>
        <w:spacing w:line="360" w:lineRule="auto"/>
        <w:ind w:firstLine="641"/>
        <w:rPr>
          <w:rFonts w:hint="eastAsia"/>
          <w:lang w:val="en-US" w:eastAsia="zh-CN"/>
        </w:rPr>
      </w:pPr>
      <w:r>
        <w:rPr>
          <w:rFonts w:hint="eastAsia"/>
          <w:lang w:val="en-US" w:eastAsia="zh-CN"/>
        </w:rPr>
        <w:t>1.2中标人有下列情形之一的，按违约处罚，构成违法犯罪的，依法追究责任：一是未按合同约定使用项目资金；二是截留、挪用项目资金；提交虚假资料或非法获取资金；三是服务过程中违规产生不良影响；四是其他违反法律法规的情形。</w:t>
      </w:r>
    </w:p>
    <w:p w14:paraId="57B3C078">
      <w:pPr>
        <w:spacing w:line="360" w:lineRule="auto"/>
        <w:ind w:firstLine="641"/>
        <w:rPr>
          <w:rFonts w:hint="eastAsia"/>
          <w:lang w:val="en-US" w:eastAsia="zh-CN"/>
        </w:rPr>
      </w:pPr>
      <w:r>
        <w:rPr>
          <w:rFonts w:hint="eastAsia"/>
          <w:lang w:val="en-US" w:eastAsia="zh-CN"/>
        </w:rPr>
        <w:t>2. ★岗位空缺处罚：服务岗位出现人员空缺的，按以下公式扣除当月服务费：每个空缺岗位当月扣除金额=（合同总价款÷24÷应到岗人数）÷（当月天数-4天）×当月该岗位未服务实际天数。</w:t>
      </w:r>
    </w:p>
    <w:p w14:paraId="46CD060A">
      <w:pPr>
        <w:spacing w:line="360" w:lineRule="auto"/>
        <w:ind w:firstLine="641"/>
        <w:rPr>
          <w:rFonts w:hint="eastAsia"/>
          <w:lang w:val="en-US" w:eastAsia="zh-CN"/>
        </w:rPr>
      </w:pPr>
      <w:r>
        <w:rPr>
          <w:rFonts w:hint="eastAsia"/>
          <w:lang w:val="en-US" w:eastAsia="zh-CN"/>
        </w:rPr>
        <w:t>3. 月度考核（依据附件1</w:t>
      </w:r>
      <w:r>
        <w:rPr>
          <w:rFonts w:hint="eastAsia"/>
        </w:rPr>
        <w:t>《奥体中心</w:t>
      </w:r>
      <w:r>
        <w:rPr>
          <w:rFonts w:hint="eastAsia"/>
          <w:lang w:val="en-US" w:eastAsia="zh-CN"/>
        </w:rPr>
        <w:t>安保</w:t>
      </w:r>
      <w:r>
        <w:rPr>
          <w:rFonts w:hint="eastAsia"/>
        </w:rPr>
        <w:t>服务考核评分表》</w:t>
      </w:r>
      <w:r>
        <w:rPr>
          <w:rFonts w:hint="eastAsia"/>
          <w:lang w:val="en-US" w:eastAsia="zh-CN"/>
        </w:rPr>
        <w:t>和附件2</w:t>
      </w:r>
      <w:r>
        <w:rPr>
          <w:rFonts w:hint="eastAsia"/>
        </w:rPr>
        <w:t>《奥体中心</w:t>
      </w:r>
      <w:r>
        <w:rPr>
          <w:rFonts w:hint="eastAsia"/>
          <w:lang w:val="en-US" w:eastAsia="zh-CN"/>
        </w:rPr>
        <w:t>安保</w:t>
      </w:r>
      <w:r>
        <w:rPr>
          <w:rFonts w:hint="eastAsia"/>
        </w:rPr>
        <w:t>服务（月度）评分表》</w:t>
      </w:r>
      <w:r>
        <w:rPr>
          <w:rFonts w:hint="eastAsia"/>
          <w:lang w:val="en-US" w:eastAsia="zh-CN"/>
        </w:rPr>
        <w:t>）：</w:t>
      </w:r>
    </w:p>
    <w:p w14:paraId="790F6AA1">
      <w:pPr>
        <w:spacing w:line="360" w:lineRule="auto"/>
        <w:ind w:firstLine="641"/>
        <w:rPr>
          <w:rFonts w:hint="eastAsia"/>
          <w:lang w:val="en-US" w:eastAsia="zh-CN"/>
        </w:rPr>
      </w:pPr>
      <w:r>
        <w:rPr>
          <w:rFonts w:hint="eastAsia"/>
          <w:lang w:val="en-US" w:eastAsia="zh-CN"/>
        </w:rPr>
        <w:t>（1）考核满分100分，90分（含）以上为合格，全额支付当月服务费固定结算部分；85-90分（含85分），扣除固定结算部分5%；70-85分（含70分），扣除15%；70分以下，扣除30%。</w:t>
      </w:r>
    </w:p>
    <w:p w14:paraId="1F29B5A4">
      <w:pPr>
        <w:spacing w:line="360" w:lineRule="auto"/>
        <w:ind w:firstLine="641"/>
        <w:rPr>
          <w:rFonts w:hint="eastAsia"/>
          <w:lang w:val="en-US" w:eastAsia="zh-CN"/>
        </w:rPr>
      </w:pPr>
      <w:r>
        <w:rPr>
          <w:rFonts w:hint="eastAsia"/>
          <w:lang w:val="en-US" w:eastAsia="zh-CN"/>
        </w:rPr>
        <w:t>（2）连续2个月考核得分低于70分（双方签字确认），除扣减服务费外，采购人有权单方解除合同，要求中标人支付履约保证金10%的违约金，并追究损失赔偿责任。</w:t>
      </w:r>
    </w:p>
    <w:p w14:paraId="43951804">
      <w:pPr>
        <w:spacing w:line="360" w:lineRule="auto"/>
        <w:ind w:firstLine="641"/>
        <w:rPr>
          <w:rFonts w:hint="eastAsia"/>
          <w:lang w:val="en-US" w:eastAsia="zh-CN"/>
        </w:rPr>
      </w:pPr>
      <w:r>
        <w:rPr>
          <w:rFonts w:hint="eastAsia"/>
          <w:lang w:val="en-US" w:eastAsia="zh-CN"/>
        </w:rPr>
        <w:t>（3）特殊情况处理：中标人因特殊原因无法达到考核要求的，可提前3天书面告知采购人，经负责人同意后，可免除对应项扣分；双方对考核结果有异议的，需在考核结束后2日内书面提出，逾期未提出或未签字的，视为认可考核结果；因采购人原因导致中标人无法按要求提供服务的，免除扣分及服务费扣除。</w:t>
      </w:r>
    </w:p>
    <w:p w14:paraId="39AB308C">
      <w:pPr>
        <w:spacing w:line="360" w:lineRule="auto"/>
        <w:ind w:firstLine="641"/>
        <w:rPr>
          <w:rFonts w:hint="eastAsia"/>
          <w:lang w:val="en-US" w:eastAsia="zh-CN"/>
        </w:rPr>
      </w:pPr>
      <w:r>
        <w:rPr>
          <w:rFonts w:hint="eastAsia"/>
          <w:lang w:val="en-US" w:eastAsia="zh-CN"/>
        </w:rPr>
        <w:t>4. 其他处罚：</w:t>
      </w:r>
    </w:p>
    <w:p w14:paraId="2CC7003D">
      <w:pPr>
        <w:spacing w:line="360" w:lineRule="auto"/>
        <w:ind w:firstLine="641"/>
        <w:rPr>
          <w:rFonts w:hint="eastAsia"/>
          <w:lang w:val="en-US" w:eastAsia="zh-CN"/>
        </w:rPr>
      </w:pPr>
      <w:r>
        <w:rPr>
          <w:rFonts w:hint="eastAsia"/>
          <w:lang w:val="en-US" w:eastAsia="zh-CN"/>
        </w:rPr>
        <w:t>（1）采购人发现脱岗少员情况的，有权扣除当月人均分摊服务费。</w:t>
      </w:r>
    </w:p>
    <w:p w14:paraId="4CF49067">
      <w:pPr>
        <w:spacing w:line="360" w:lineRule="auto"/>
        <w:ind w:firstLine="641"/>
        <w:rPr>
          <w:rFonts w:hint="eastAsia"/>
          <w:lang w:val="en-US" w:eastAsia="zh-CN"/>
        </w:rPr>
      </w:pPr>
      <w:r>
        <w:rPr>
          <w:rFonts w:hint="eastAsia"/>
          <w:lang w:val="en-US" w:eastAsia="zh-CN"/>
        </w:rPr>
        <w:t>（2）服务不符合合同要求，中标人收到书面整改通知后未按期整改的，采购人有权扣除1个月服务费或单方解除合同，不予退还履约保证金，并要求支付履约保证金10%的违约金，追究损失赔偿责任；中标人收到整改通知5日内未答复的，视为接受整改要求，未按期完成的，采购人有权从服务费中扣回整改费用，并保留索赔权利。</w:t>
      </w:r>
    </w:p>
    <w:p w14:paraId="2993D8A9">
      <w:pPr>
        <w:spacing w:line="360" w:lineRule="auto"/>
        <w:ind w:firstLine="641"/>
        <w:rPr>
          <w:rFonts w:hint="eastAsia"/>
          <w:lang w:val="en-US" w:eastAsia="zh-CN"/>
        </w:rPr>
      </w:pPr>
      <w:r>
        <w:rPr>
          <w:rFonts w:hint="eastAsia"/>
          <w:lang w:val="en-US" w:eastAsia="zh-CN"/>
        </w:rPr>
        <w:t>（3）因中标人服务态度、服务质量等问题被上级主管部门或属地政府职责部门批评、或媒体曝光、或群众有效投诉等，每发生1次，视情况扣除当月服务费3%-5%，情节严重的，视情况扣除当月服务费5%-10%；经采购人督促整改，仍再发生同类情形的，采购人有权上报监管部门或解除合同，不予退还履约保证金，并要求支付违约金、追究损失。</w:t>
      </w:r>
    </w:p>
    <w:p w14:paraId="1C15AA4C">
      <w:pPr>
        <w:spacing w:line="360" w:lineRule="auto"/>
        <w:ind w:firstLine="641"/>
        <w:rPr>
          <w:rFonts w:hint="eastAsia"/>
          <w:lang w:val="en-US" w:eastAsia="zh-CN"/>
        </w:rPr>
      </w:pPr>
      <w:r>
        <w:rPr>
          <w:rFonts w:hint="eastAsia"/>
          <w:lang w:val="en-US" w:eastAsia="zh-CN"/>
        </w:rPr>
        <w:t>（4）未经采购人书面同意，中标人及相关人员在服务范围内开展收费服务以外的收费活动，经查实，按实际收取金额的10倍扣除当月服务费。</w:t>
      </w:r>
    </w:p>
    <w:p w14:paraId="2973599D">
      <w:pPr>
        <w:pStyle w:val="4"/>
        <w:rPr>
          <w:rFonts w:hint="eastAsia"/>
          <w:lang w:val="en-US" w:eastAsia="zh-CN"/>
        </w:rPr>
      </w:pPr>
    </w:p>
    <w:p w14:paraId="410676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附件：1.广东省奥林匹克体育中心安保服务项目检查评分表</w:t>
      </w:r>
    </w:p>
    <w:p w14:paraId="28AA3057">
      <w:pPr>
        <w:keepNext w:val="0"/>
        <w:keepLines w:val="0"/>
        <w:pageBreakBefore w:val="0"/>
        <w:widowControl w:val="0"/>
        <w:kinsoku/>
        <w:wordWrap/>
        <w:overflowPunct/>
        <w:topLinePunct w:val="0"/>
        <w:autoSpaceDE/>
        <w:autoSpaceDN/>
        <w:bidi w:val="0"/>
        <w:adjustRightInd/>
        <w:snapToGrid/>
        <w:ind w:firstLine="1050" w:firstLineChars="500"/>
        <w:textAlignment w:val="auto"/>
        <w:rPr>
          <w:rFonts w:hint="eastAsia"/>
        </w:rPr>
      </w:pPr>
      <w:r>
        <w:rPr>
          <w:rFonts w:hint="eastAsia"/>
        </w:rPr>
        <w:t>2.广东省奥林匹克体育中心安保服务项目（月度）评分表</w:t>
      </w:r>
    </w:p>
    <w:p w14:paraId="6A4B1C0C">
      <w:pPr>
        <w:pStyle w:val="4"/>
        <w:rPr>
          <w:rFonts w:hint="eastAsia"/>
        </w:rPr>
      </w:pPr>
    </w:p>
    <w:p w14:paraId="5BA737EF">
      <w:pPr>
        <w:rPr>
          <w:rFonts w:hint="eastAsia"/>
        </w:rPr>
      </w:pPr>
      <w:r>
        <w:rPr>
          <w:rFonts w:hint="eastAsia"/>
        </w:rPr>
        <w:br w:type="page"/>
      </w:r>
    </w:p>
    <w:p w14:paraId="0B9A3147">
      <w:pPr>
        <w:pStyle w:val="22"/>
        <w:ind w:firstLine="420"/>
        <w:jc w:val="both"/>
        <w:rPr>
          <w:rFonts w:hint="eastAsia" w:eastAsiaTheme="minorEastAsia"/>
          <w:lang w:eastAsia="zh-CN"/>
        </w:rPr>
      </w:pPr>
      <w:r>
        <w:rPr>
          <w:color w:val="000000"/>
          <w:sz w:val="21"/>
        </w:rPr>
        <w:t>附件1</w:t>
      </w:r>
      <w:r>
        <w:rPr>
          <w:rFonts w:hint="eastAsia"/>
          <w:color w:val="000000"/>
          <w:sz w:val="21"/>
          <w:lang w:eastAsia="zh-CN"/>
        </w:rPr>
        <w:t>：</w:t>
      </w:r>
    </w:p>
    <w:p w14:paraId="3132C2DB">
      <w:pPr>
        <w:pStyle w:val="22"/>
        <w:jc w:val="center"/>
        <w:rPr>
          <w:rFonts w:hint="default"/>
        </w:rPr>
      </w:pPr>
      <w:r>
        <w:rPr>
          <w:b/>
          <w:sz w:val="32"/>
        </w:rPr>
        <w:t>广东省奥林匹克体育中心安保服务项目检查评分表</w:t>
      </w:r>
    </w:p>
    <w:p w14:paraId="02676F14"/>
    <w:p w14:paraId="6AF6F330">
      <w:pPr>
        <w:pStyle w:val="22"/>
        <w:keepNext w:val="0"/>
        <w:keepLines w:val="0"/>
        <w:pageBreakBefore w:val="0"/>
        <w:widowControl/>
        <w:kinsoku/>
        <w:wordWrap/>
        <w:overflowPunct/>
        <w:topLinePunct w:val="0"/>
        <w:autoSpaceDE/>
        <w:autoSpaceDN/>
        <w:bidi w:val="0"/>
        <w:adjustRightInd/>
        <w:snapToGrid/>
        <w:spacing w:after="157" w:afterLines="50"/>
        <w:jc w:val="both"/>
        <w:textAlignment w:val="auto"/>
        <w:rPr>
          <w:rFonts w:ascii="宋体" w:hAnsi="宋体" w:eastAsia="宋体" w:cs="宋体"/>
          <w:sz w:val="24"/>
          <w:szCs w:val="24"/>
        </w:rPr>
      </w:pPr>
      <w:r>
        <w:rPr>
          <w:rFonts w:ascii="宋体" w:hAnsi="宋体" w:eastAsia="宋体" w:cs="宋体"/>
          <w:sz w:val="24"/>
          <w:szCs w:val="24"/>
        </w:rPr>
        <w:t>被考评单位：____________________</w:t>
      </w:r>
    </w:p>
    <w:p w14:paraId="54D403AE">
      <w:pPr>
        <w:pStyle w:val="22"/>
        <w:keepNext w:val="0"/>
        <w:keepLines w:val="0"/>
        <w:pageBreakBefore w:val="0"/>
        <w:widowControl/>
        <w:kinsoku/>
        <w:wordWrap/>
        <w:overflowPunct/>
        <w:topLinePunct w:val="0"/>
        <w:autoSpaceDE/>
        <w:autoSpaceDN/>
        <w:bidi w:val="0"/>
        <w:adjustRightInd/>
        <w:snapToGrid/>
        <w:spacing w:after="157" w:afterLines="50"/>
        <w:jc w:val="both"/>
        <w:textAlignment w:val="auto"/>
        <w:rPr>
          <w:rFonts w:hint="default"/>
          <w:sz w:val="22"/>
        </w:rPr>
      </w:pPr>
      <w:r>
        <w:rPr>
          <w:rFonts w:ascii="宋体" w:hAnsi="宋体" w:eastAsia="宋体" w:cs="宋体"/>
          <w:sz w:val="24"/>
          <w:szCs w:val="24"/>
        </w:rPr>
        <w:t>考核期次：第____期（共24期）</w:t>
      </w:r>
    </w:p>
    <w:p w14:paraId="26C49C02">
      <w:pPr>
        <w:pStyle w:val="22"/>
        <w:keepNext w:val="0"/>
        <w:keepLines w:val="0"/>
        <w:pageBreakBefore w:val="0"/>
        <w:widowControl/>
        <w:kinsoku/>
        <w:wordWrap/>
        <w:overflowPunct/>
        <w:topLinePunct w:val="0"/>
        <w:autoSpaceDE/>
        <w:autoSpaceDN/>
        <w:bidi w:val="0"/>
        <w:adjustRightInd/>
        <w:snapToGrid/>
        <w:spacing w:after="157" w:afterLines="50"/>
        <w:jc w:val="both"/>
        <w:textAlignment w:val="auto"/>
        <w:rPr>
          <w:rFonts w:hint="default"/>
          <w:sz w:val="22"/>
        </w:rPr>
      </w:pPr>
      <w:r>
        <w:rPr>
          <w:rFonts w:ascii="宋体" w:hAnsi="宋体" w:eastAsia="宋体" w:cs="宋体"/>
          <w:sz w:val="24"/>
          <w:szCs w:val="24"/>
        </w:rPr>
        <w:t>考核周期：______年____月____日至______年____月____日</w:t>
      </w:r>
    </w:p>
    <w:tbl>
      <w:tblPr>
        <w:tblStyle w:val="10"/>
        <w:tblW w:w="921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5"/>
        <w:gridCol w:w="3626"/>
        <w:gridCol w:w="1364"/>
        <w:gridCol w:w="1105"/>
        <w:gridCol w:w="851"/>
        <w:gridCol w:w="1134"/>
      </w:tblGrid>
      <w:tr w14:paraId="23CA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blHeader/>
        </w:trPr>
        <w:tc>
          <w:tcPr>
            <w:tcW w:w="1135" w:type="dxa"/>
            <w:tcMar>
              <w:top w:w="0" w:type="dxa"/>
              <w:left w:w="60" w:type="dxa"/>
              <w:bottom w:w="0" w:type="dxa"/>
              <w:right w:w="60" w:type="dxa"/>
            </w:tcMar>
            <w:vAlign w:val="center"/>
          </w:tcPr>
          <w:p w14:paraId="7F04014C">
            <w:pPr>
              <w:pStyle w:val="22"/>
              <w:jc w:val="center"/>
              <w:rPr>
                <w:rFonts w:hint="default"/>
              </w:rPr>
            </w:pPr>
            <w:r>
              <w:rPr>
                <w:b/>
                <w:color w:val="000000"/>
                <w:sz w:val="22"/>
              </w:rPr>
              <w:t>项目</w:t>
            </w:r>
          </w:p>
        </w:tc>
        <w:tc>
          <w:tcPr>
            <w:tcW w:w="3626" w:type="dxa"/>
            <w:tcMar>
              <w:top w:w="0" w:type="dxa"/>
              <w:left w:w="60" w:type="dxa"/>
              <w:bottom w:w="0" w:type="dxa"/>
              <w:right w:w="60" w:type="dxa"/>
            </w:tcMar>
            <w:vAlign w:val="center"/>
          </w:tcPr>
          <w:p w14:paraId="1E01E984">
            <w:pPr>
              <w:pStyle w:val="22"/>
              <w:jc w:val="center"/>
              <w:rPr>
                <w:rFonts w:hint="default"/>
              </w:rPr>
            </w:pPr>
            <w:r>
              <w:rPr>
                <w:b/>
                <w:color w:val="000000"/>
                <w:sz w:val="22"/>
              </w:rPr>
              <w:t>抽查工作内容</w:t>
            </w:r>
          </w:p>
        </w:tc>
        <w:tc>
          <w:tcPr>
            <w:tcW w:w="1364" w:type="dxa"/>
            <w:tcMar>
              <w:top w:w="0" w:type="dxa"/>
              <w:left w:w="60" w:type="dxa"/>
              <w:bottom w:w="0" w:type="dxa"/>
              <w:right w:w="60" w:type="dxa"/>
            </w:tcMar>
            <w:vAlign w:val="center"/>
          </w:tcPr>
          <w:p w14:paraId="0E901ECD">
            <w:pPr>
              <w:pStyle w:val="22"/>
              <w:jc w:val="center"/>
              <w:rPr>
                <w:rFonts w:hint="default"/>
              </w:rPr>
            </w:pPr>
            <w:r>
              <w:rPr>
                <w:b/>
                <w:color w:val="000000"/>
                <w:sz w:val="22"/>
              </w:rPr>
              <w:t>扣分标准</w:t>
            </w:r>
          </w:p>
        </w:tc>
        <w:tc>
          <w:tcPr>
            <w:tcW w:w="1105" w:type="dxa"/>
            <w:tcMar>
              <w:top w:w="0" w:type="dxa"/>
              <w:left w:w="60" w:type="dxa"/>
              <w:bottom w:w="0" w:type="dxa"/>
              <w:right w:w="60" w:type="dxa"/>
            </w:tcMar>
            <w:vAlign w:val="center"/>
          </w:tcPr>
          <w:p w14:paraId="72AF1904">
            <w:pPr>
              <w:pStyle w:val="22"/>
              <w:jc w:val="center"/>
              <w:rPr>
                <w:rFonts w:hint="default"/>
              </w:rPr>
            </w:pPr>
            <w:r>
              <w:rPr>
                <w:b/>
                <w:color w:val="000000"/>
                <w:sz w:val="22"/>
              </w:rPr>
              <w:t>扣分原因</w:t>
            </w:r>
          </w:p>
        </w:tc>
        <w:tc>
          <w:tcPr>
            <w:tcW w:w="851" w:type="dxa"/>
            <w:tcMar>
              <w:top w:w="0" w:type="dxa"/>
              <w:left w:w="60" w:type="dxa"/>
              <w:bottom w:w="0" w:type="dxa"/>
              <w:right w:w="60" w:type="dxa"/>
            </w:tcMar>
            <w:vAlign w:val="center"/>
          </w:tcPr>
          <w:p w14:paraId="3CB1B13A">
            <w:pPr>
              <w:pStyle w:val="22"/>
              <w:jc w:val="center"/>
              <w:rPr>
                <w:rFonts w:hint="default"/>
              </w:rPr>
            </w:pPr>
            <w:r>
              <w:rPr>
                <w:b/>
                <w:color w:val="000000"/>
                <w:sz w:val="22"/>
              </w:rPr>
              <w:t>扣分</w:t>
            </w:r>
          </w:p>
        </w:tc>
        <w:tc>
          <w:tcPr>
            <w:tcW w:w="1134" w:type="dxa"/>
            <w:tcMar>
              <w:top w:w="0" w:type="dxa"/>
              <w:left w:w="60" w:type="dxa"/>
              <w:bottom w:w="0" w:type="dxa"/>
              <w:right w:w="60" w:type="dxa"/>
            </w:tcMar>
            <w:vAlign w:val="center"/>
          </w:tcPr>
          <w:p w14:paraId="57E09AED">
            <w:pPr>
              <w:pStyle w:val="22"/>
              <w:jc w:val="center"/>
              <w:rPr>
                <w:rFonts w:hint="default"/>
              </w:rPr>
            </w:pPr>
            <w:r>
              <w:rPr>
                <w:b/>
                <w:color w:val="000000"/>
                <w:sz w:val="22"/>
              </w:rPr>
              <w:t>备注</w:t>
            </w:r>
          </w:p>
        </w:tc>
      </w:tr>
      <w:tr w14:paraId="2D86A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1661C659">
            <w:pPr>
              <w:pStyle w:val="22"/>
              <w:jc w:val="center"/>
              <w:rPr>
                <w:rFonts w:hint="default"/>
                <w:color w:val="000000"/>
                <w:sz w:val="22"/>
              </w:rPr>
            </w:pPr>
            <w:r>
              <w:rPr>
                <w:color w:val="000000"/>
                <w:sz w:val="22"/>
              </w:rPr>
              <w:t>仪容仪表</w:t>
            </w:r>
          </w:p>
          <w:p w14:paraId="0C8D573A">
            <w:pPr>
              <w:pStyle w:val="22"/>
              <w:jc w:val="center"/>
              <w:rPr>
                <w:rFonts w:hint="default"/>
              </w:rPr>
            </w:pPr>
            <w:r>
              <w:rPr>
                <w:color w:val="000000"/>
                <w:sz w:val="22"/>
              </w:rPr>
              <w:t>（15分）</w:t>
            </w:r>
          </w:p>
        </w:tc>
        <w:tc>
          <w:tcPr>
            <w:tcW w:w="3626" w:type="dxa"/>
            <w:tcMar>
              <w:top w:w="0" w:type="dxa"/>
              <w:left w:w="60" w:type="dxa"/>
              <w:bottom w:w="0" w:type="dxa"/>
              <w:right w:w="60" w:type="dxa"/>
            </w:tcMar>
            <w:vAlign w:val="center"/>
          </w:tcPr>
          <w:p w14:paraId="2593884F">
            <w:pPr>
              <w:pStyle w:val="22"/>
              <w:jc w:val="both"/>
              <w:rPr>
                <w:rFonts w:hint="default"/>
              </w:rPr>
            </w:pPr>
            <w:r>
              <w:rPr>
                <w:sz w:val="22"/>
              </w:rPr>
              <w:t>未按规定穿着统一工作服、配带工作证、口罩等。</w:t>
            </w:r>
          </w:p>
        </w:tc>
        <w:tc>
          <w:tcPr>
            <w:tcW w:w="1364" w:type="dxa"/>
            <w:tcMar>
              <w:top w:w="0" w:type="dxa"/>
              <w:left w:w="60" w:type="dxa"/>
              <w:bottom w:w="0" w:type="dxa"/>
              <w:right w:w="60" w:type="dxa"/>
            </w:tcMar>
            <w:vAlign w:val="center"/>
          </w:tcPr>
          <w:p w14:paraId="2DAB28AF">
            <w:pPr>
              <w:pStyle w:val="22"/>
              <w:jc w:val="both"/>
              <w:rPr>
                <w:rFonts w:hint="default"/>
              </w:rPr>
            </w:pPr>
            <w:r>
              <w:rPr>
                <w:sz w:val="22"/>
              </w:rPr>
              <w:t>每人/次扣0.5分</w:t>
            </w:r>
          </w:p>
        </w:tc>
        <w:tc>
          <w:tcPr>
            <w:tcW w:w="1105" w:type="dxa"/>
            <w:tcMar>
              <w:top w:w="0" w:type="dxa"/>
              <w:left w:w="60" w:type="dxa"/>
              <w:bottom w:w="0" w:type="dxa"/>
              <w:right w:w="60" w:type="dxa"/>
            </w:tcMar>
            <w:vAlign w:val="center"/>
          </w:tcPr>
          <w:p w14:paraId="0531AF69">
            <w:pPr>
              <w:pStyle w:val="22"/>
              <w:jc w:val="both"/>
              <w:rPr>
                <w:rFonts w:hint="default"/>
              </w:rPr>
            </w:pPr>
          </w:p>
        </w:tc>
        <w:tc>
          <w:tcPr>
            <w:tcW w:w="851" w:type="dxa"/>
            <w:tcMar>
              <w:top w:w="0" w:type="dxa"/>
              <w:left w:w="60" w:type="dxa"/>
              <w:bottom w:w="0" w:type="dxa"/>
              <w:right w:w="60" w:type="dxa"/>
            </w:tcMar>
            <w:vAlign w:val="center"/>
          </w:tcPr>
          <w:p w14:paraId="789BB7CA"/>
        </w:tc>
        <w:tc>
          <w:tcPr>
            <w:tcW w:w="1134" w:type="dxa"/>
            <w:tcMar>
              <w:top w:w="0" w:type="dxa"/>
              <w:left w:w="60" w:type="dxa"/>
              <w:bottom w:w="0" w:type="dxa"/>
              <w:right w:w="60" w:type="dxa"/>
            </w:tcMar>
            <w:vAlign w:val="center"/>
          </w:tcPr>
          <w:p w14:paraId="569C58DE"/>
        </w:tc>
      </w:tr>
      <w:tr w14:paraId="6FDE6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40BA2A75">
            <w:pPr>
              <w:jc w:val="center"/>
            </w:pPr>
          </w:p>
        </w:tc>
        <w:tc>
          <w:tcPr>
            <w:tcW w:w="3626" w:type="dxa"/>
            <w:tcMar>
              <w:top w:w="0" w:type="dxa"/>
              <w:left w:w="60" w:type="dxa"/>
              <w:bottom w:w="0" w:type="dxa"/>
              <w:right w:w="60" w:type="dxa"/>
            </w:tcMar>
            <w:vAlign w:val="center"/>
          </w:tcPr>
          <w:p w14:paraId="320C5352">
            <w:pPr>
              <w:pStyle w:val="22"/>
              <w:jc w:val="both"/>
              <w:rPr>
                <w:rFonts w:hint="default"/>
              </w:rPr>
            </w:pPr>
            <w:r>
              <w:rPr>
                <w:color w:val="000000"/>
                <w:sz w:val="22"/>
              </w:rPr>
              <w:t>制服、鞋帽干净整洁，发型、胡须、佩戴饰物等仪容仪表符合要求，精神面貌良好。</w:t>
            </w:r>
          </w:p>
        </w:tc>
        <w:tc>
          <w:tcPr>
            <w:tcW w:w="1364" w:type="dxa"/>
            <w:tcMar>
              <w:top w:w="0" w:type="dxa"/>
              <w:left w:w="60" w:type="dxa"/>
              <w:bottom w:w="0" w:type="dxa"/>
              <w:right w:w="60" w:type="dxa"/>
            </w:tcMar>
            <w:vAlign w:val="center"/>
          </w:tcPr>
          <w:p w14:paraId="5D3F4053">
            <w:pPr>
              <w:pStyle w:val="22"/>
              <w:jc w:val="both"/>
              <w:rPr>
                <w:rFonts w:hint="default"/>
              </w:rPr>
            </w:pPr>
            <w:r>
              <w:rPr>
                <w:sz w:val="22"/>
              </w:rPr>
              <w:t>每人/次扣0.5分</w:t>
            </w:r>
          </w:p>
        </w:tc>
        <w:tc>
          <w:tcPr>
            <w:tcW w:w="1105" w:type="dxa"/>
            <w:tcMar>
              <w:top w:w="0" w:type="dxa"/>
              <w:left w:w="60" w:type="dxa"/>
              <w:bottom w:w="0" w:type="dxa"/>
              <w:right w:w="60" w:type="dxa"/>
            </w:tcMar>
            <w:vAlign w:val="center"/>
          </w:tcPr>
          <w:p w14:paraId="4487BA01">
            <w:pPr>
              <w:pStyle w:val="22"/>
              <w:jc w:val="both"/>
              <w:rPr>
                <w:rFonts w:hint="default"/>
              </w:rPr>
            </w:pPr>
          </w:p>
        </w:tc>
        <w:tc>
          <w:tcPr>
            <w:tcW w:w="851" w:type="dxa"/>
            <w:tcMar>
              <w:top w:w="0" w:type="dxa"/>
              <w:left w:w="60" w:type="dxa"/>
              <w:bottom w:w="0" w:type="dxa"/>
              <w:right w:w="60" w:type="dxa"/>
            </w:tcMar>
            <w:vAlign w:val="center"/>
          </w:tcPr>
          <w:p w14:paraId="48A46AFF"/>
        </w:tc>
        <w:tc>
          <w:tcPr>
            <w:tcW w:w="1134" w:type="dxa"/>
            <w:tcMar>
              <w:top w:w="0" w:type="dxa"/>
              <w:left w:w="60" w:type="dxa"/>
              <w:bottom w:w="0" w:type="dxa"/>
              <w:right w:w="60" w:type="dxa"/>
            </w:tcMar>
            <w:vAlign w:val="center"/>
          </w:tcPr>
          <w:p w14:paraId="2DE847D6"/>
        </w:tc>
      </w:tr>
      <w:tr w14:paraId="3AC4A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62697F16">
            <w:pPr>
              <w:pStyle w:val="22"/>
              <w:jc w:val="center"/>
              <w:rPr>
                <w:rFonts w:hint="default"/>
              </w:rPr>
            </w:pPr>
            <w:r>
              <w:rPr>
                <w:color w:val="000000"/>
                <w:sz w:val="22"/>
              </w:rPr>
              <w:t>行为规范（25分）</w:t>
            </w:r>
          </w:p>
        </w:tc>
        <w:tc>
          <w:tcPr>
            <w:tcW w:w="3626" w:type="dxa"/>
            <w:tcMar>
              <w:top w:w="0" w:type="dxa"/>
              <w:left w:w="60" w:type="dxa"/>
              <w:bottom w:w="0" w:type="dxa"/>
              <w:right w:w="60" w:type="dxa"/>
            </w:tcMar>
            <w:vAlign w:val="center"/>
          </w:tcPr>
          <w:p w14:paraId="59A12522">
            <w:pPr>
              <w:pStyle w:val="22"/>
              <w:jc w:val="both"/>
              <w:rPr>
                <w:rFonts w:hint="default"/>
              </w:rPr>
            </w:pPr>
            <w:r>
              <w:rPr>
                <w:color w:val="000000"/>
                <w:sz w:val="22"/>
              </w:rPr>
              <w:t>盗窃中心物品，利用工作之便索取钱财、物品（经查属实）。</w:t>
            </w:r>
          </w:p>
        </w:tc>
        <w:tc>
          <w:tcPr>
            <w:tcW w:w="1364" w:type="dxa"/>
            <w:tcMar>
              <w:top w:w="0" w:type="dxa"/>
              <w:left w:w="60" w:type="dxa"/>
              <w:bottom w:w="0" w:type="dxa"/>
              <w:right w:w="60" w:type="dxa"/>
            </w:tcMar>
            <w:vAlign w:val="center"/>
          </w:tcPr>
          <w:p w14:paraId="66F92102">
            <w:pPr>
              <w:pStyle w:val="22"/>
              <w:jc w:val="both"/>
              <w:rPr>
                <w:rFonts w:hint="default"/>
              </w:rPr>
            </w:pPr>
            <w:r>
              <w:rPr>
                <w:sz w:val="22"/>
              </w:rPr>
              <w:t>经查属实，每宗扣2-5分</w:t>
            </w:r>
          </w:p>
        </w:tc>
        <w:tc>
          <w:tcPr>
            <w:tcW w:w="1105" w:type="dxa"/>
            <w:tcMar>
              <w:top w:w="0" w:type="dxa"/>
              <w:left w:w="60" w:type="dxa"/>
              <w:bottom w:w="0" w:type="dxa"/>
              <w:right w:w="60" w:type="dxa"/>
            </w:tcMar>
            <w:vAlign w:val="center"/>
          </w:tcPr>
          <w:p w14:paraId="0792183B">
            <w:pPr>
              <w:pStyle w:val="22"/>
              <w:jc w:val="both"/>
              <w:rPr>
                <w:rFonts w:hint="default"/>
              </w:rPr>
            </w:pPr>
          </w:p>
        </w:tc>
        <w:tc>
          <w:tcPr>
            <w:tcW w:w="851" w:type="dxa"/>
            <w:tcMar>
              <w:top w:w="0" w:type="dxa"/>
              <w:left w:w="60" w:type="dxa"/>
              <w:bottom w:w="0" w:type="dxa"/>
              <w:right w:w="60" w:type="dxa"/>
            </w:tcMar>
            <w:vAlign w:val="center"/>
          </w:tcPr>
          <w:p w14:paraId="6FA89B13"/>
        </w:tc>
        <w:tc>
          <w:tcPr>
            <w:tcW w:w="1134" w:type="dxa"/>
            <w:tcMar>
              <w:top w:w="0" w:type="dxa"/>
              <w:left w:w="60" w:type="dxa"/>
              <w:bottom w:w="0" w:type="dxa"/>
              <w:right w:w="60" w:type="dxa"/>
            </w:tcMar>
            <w:vAlign w:val="center"/>
          </w:tcPr>
          <w:p w14:paraId="35E8BAC7"/>
        </w:tc>
      </w:tr>
      <w:tr w14:paraId="6977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73C2280E">
            <w:pPr>
              <w:jc w:val="center"/>
            </w:pPr>
          </w:p>
        </w:tc>
        <w:tc>
          <w:tcPr>
            <w:tcW w:w="3626" w:type="dxa"/>
            <w:tcMar>
              <w:top w:w="0" w:type="dxa"/>
              <w:left w:w="60" w:type="dxa"/>
              <w:bottom w:w="0" w:type="dxa"/>
              <w:right w:w="60" w:type="dxa"/>
            </w:tcMar>
            <w:vAlign w:val="center"/>
          </w:tcPr>
          <w:p w14:paraId="36FC5B0D">
            <w:pPr>
              <w:pStyle w:val="22"/>
              <w:jc w:val="both"/>
              <w:rPr>
                <w:rFonts w:hint="default"/>
              </w:rPr>
            </w:pPr>
            <w:r>
              <w:rPr>
                <w:color w:val="000000"/>
                <w:sz w:val="22"/>
              </w:rPr>
              <w:t>服务范围文明礼貌执勤，和他人发生吵架、甚至打架行为，造成不良后果的。</w:t>
            </w:r>
          </w:p>
        </w:tc>
        <w:tc>
          <w:tcPr>
            <w:tcW w:w="1364" w:type="dxa"/>
            <w:tcMar>
              <w:top w:w="0" w:type="dxa"/>
              <w:left w:w="60" w:type="dxa"/>
              <w:bottom w:w="0" w:type="dxa"/>
              <w:right w:w="60" w:type="dxa"/>
            </w:tcMar>
            <w:vAlign w:val="center"/>
          </w:tcPr>
          <w:p w14:paraId="4EAE3589">
            <w:pPr>
              <w:pStyle w:val="22"/>
              <w:jc w:val="both"/>
              <w:rPr>
                <w:rFonts w:hint="default"/>
              </w:rPr>
            </w:pPr>
            <w:r>
              <w:rPr>
                <w:color w:val="000000"/>
                <w:sz w:val="22"/>
              </w:rPr>
              <w:t>每</w:t>
            </w:r>
            <w:r>
              <w:rPr>
                <w:sz w:val="22"/>
              </w:rPr>
              <w:t>宗</w:t>
            </w:r>
            <w:r>
              <w:rPr>
                <w:color w:val="000000"/>
                <w:sz w:val="22"/>
              </w:rPr>
              <w:t>扣1-3分</w:t>
            </w:r>
          </w:p>
        </w:tc>
        <w:tc>
          <w:tcPr>
            <w:tcW w:w="1105" w:type="dxa"/>
            <w:tcMar>
              <w:top w:w="0" w:type="dxa"/>
              <w:left w:w="60" w:type="dxa"/>
              <w:bottom w:w="0" w:type="dxa"/>
              <w:right w:w="60" w:type="dxa"/>
            </w:tcMar>
            <w:vAlign w:val="center"/>
          </w:tcPr>
          <w:p w14:paraId="1A91D91C">
            <w:pPr>
              <w:pStyle w:val="22"/>
              <w:jc w:val="both"/>
              <w:rPr>
                <w:rFonts w:hint="default"/>
              </w:rPr>
            </w:pPr>
          </w:p>
        </w:tc>
        <w:tc>
          <w:tcPr>
            <w:tcW w:w="851" w:type="dxa"/>
            <w:tcMar>
              <w:top w:w="0" w:type="dxa"/>
              <w:left w:w="60" w:type="dxa"/>
              <w:bottom w:w="0" w:type="dxa"/>
              <w:right w:w="60" w:type="dxa"/>
            </w:tcMar>
            <w:vAlign w:val="center"/>
          </w:tcPr>
          <w:p w14:paraId="7C3CAD37"/>
        </w:tc>
        <w:tc>
          <w:tcPr>
            <w:tcW w:w="1134" w:type="dxa"/>
            <w:tcMar>
              <w:top w:w="0" w:type="dxa"/>
              <w:left w:w="60" w:type="dxa"/>
              <w:bottom w:w="0" w:type="dxa"/>
              <w:right w:w="60" w:type="dxa"/>
            </w:tcMar>
            <w:vAlign w:val="center"/>
          </w:tcPr>
          <w:p w14:paraId="0F580AF9"/>
        </w:tc>
      </w:tr>
      <w:tr w14:paraId="35F9A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07FE62CE">
            <w:pPr>
              <w:jc w:val="center"/>
            </w:pPr>
          </w:p>
        </w:tc>
        <w:tc>
          <w:tcPr>
            <w:tcW w:w="3626" w:type="dxa"/>
            <w:tcMar>
              <w:top w:w="0" w:type="dxa"/>
              <w:left w:w="60" w:type="dxa"/>
              <w:bottom w:w="0" w:type="dxa"/>
              <w:right w:w="60" w:type="dxa"/>
            </w:tcMar>
            <w:vAlign w:val="center"/>
          </w:tcPr>
          <w:p w14:paraId="7BC60BB9">
            <w:pPr>
              <w:pStyle w:val="22"/>
              <w:jc w:val="both"/>
              <w:rPr>
                <w:rFonts w:hint="default"/>
              </w:rPr>
            </w:pPr>
            <w:r>
              <w:rPr>
                <w:color w:val="000000"/>
                <w:sz w:val="22"/>
              </w:rPr>
              <w:t>服务态度差，不听从劝告或经他人投诉曝光，经查属实，造成不良影响的。不爱护岗位周边环境卫生。</w:t>
            </w:r>
          </w:p>
        </w:tc>
        <w:tc>
          <w:tcPr>
            <w:tcW w:w="1364" w:type="dxa"/>
            <w:tcMar>
              <w:top w:w="0" w:type="dxa"/>
              <w:left w:w="60" w:type="dxa"/>
              <w:bottom w:w="0" w:type="dxa"/>
              <w:right w:w="60" w:type="dxa"/>
            </w:tcMar>
            <w:vAlign w:val="center"/>
          </w:tcPr>
          <w:p w14:paraId="42D8EAAB">
            <w:pPr>
              <w:pStyle w:val="22"/>
              <w:jc w:val="both"/>
              <w:rPr>
                <w:rFonts w:hint="default"/>
              </w:rPr>
            </w:pPr>
            <w:r>
              <w:rPr>
                <w:color w:val="000000"/>
                <w:sz w:val="22"/>
              </w:rPr>
              <w:t>每</w:t>
            </w:r>
            <w:r>
              <w:rPr>
                <w:sz w:val="22"/>
              </w:rPr>
              <w:t>宗</w:t>
            </w:r>
            <w:r>
              <w:rPr>
                <w:color w:val="000000"/>
                <w:sz w:val="22"/>
              </w:rPr>
              <w:t>扣1分</w:t>
            </w:r>
          </w:p>
        </w:tc>
        <w:tc>
          <w:tcPr>
            <w:tcW w:w="1105" w:type="dxa"/>
            <w:tcMar>
              <w:top w:w="0" w:type="dxa"/>
              <w:left w:w="60" w:type="dxa"/>
              <w:bottom w:w="0" w:type="dxa"/>
              <w:right w:w="60" w:type="dxa"/>
            </w:tcMar>
            <w:vAlign w:val="center"/>
          </w:tcPr>
          <w:p w14:paraId="4A8A44FF">
            <w:pPr>
              <w:pStyle w:val="22"/>
              <w:jc w:val="both"/>
              <w:rPr>
                <w:rFonts w:hint="default"/>
              </w:rPr>
            </w:pPr>
          </w:p>
        </w:tc>
        <w:tc>
          <w:tcPr>
            <w:tcW w:w="851" w:type="dxa"/>
            <w:tcMar>
              <w:top w:w="0" w:type="dxa"/>
              <w:left w:w="60" w:type="dxa"/>
              <w:bottom w:w="0" w:type="dxa"/>
              <w:right w:w="60" w:type="dxa"/>
            </w:tcMar>
            <w:vAlign w:val="center"/>
          </w:tcPr>
          <w:p w14:paraId="3BA48367"/>
        </w:tc>
        <w:tc>
          <w:tcPr>
            <w:tcW w:w="1134" w:type="dxa"/>
            <w:tcMar>
              <w:top w:w="0" w:type="dxa"/>
              <w:left w:w="60" w:type="dxa"/>
              <w:bottom w:w="0" w:type="dxa"/>
              <w:right w:w="60" w:type="dxa"/>
            </w:tcMar>
            <w:vAlign w:val="center"/>
          </w:tcPr>
          <w:p w14:paraId="7B2824D4"/>
        </w:tc>
      </w:tr>
      <w:tr w14:paraId="6D12D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3B01414C">
            <w:pPr>
              <w:jc w:val="center"/>
            </w:pPr>
          </w:p>
        </w:tc>
        <w:tc>
          <w:tcPr>
            <w:tcW w:w="3626" w:type="dxa"/>
            <w:tcMar>
              <w:top w:w="0" w:type="dxa"/>
              <w:left w:w="60" w:type="dxa"/>
              <w:bottom w:w="0" w:type="dxa"/>
              <w:right w:w="60" w:type="dxa"/>
            </w:tcMar>
            <w:vAlign w:val="center"/>
          </w:tcPr>
          <w:p w14:paraId="2645F7E3">
            <w:pPr>
              <w:pStyle w:val="22"/>
              <w:jc w:val="both"/>
              <w:rPr>
                <w:rFonts w:hint="default"/>
              </w:rPr>
            </w:pPr>
            <w:r>
              <w:rPr>
                <w:color w:val="000000"/>
                <w:sz w:val="22"/>
              </w:rPr>
              <w:t>不配合甲方管理人员监督、管理，不执行甲方管理人员合理的工作要求。</w:t>
            </w:r>
          </w:p>
        </w:tc>
        <w:tc>
          <w:tcPr>
            <w:tcW w:w="1364" w:type="dxa"/>
            <w:tcMar>
              <w:top w:w="0" w:type="dxa"/>
              <w:left w:w="60" w:type="dxa"/>
              <w:bottom w:w="0" w:type="dxa"/>
              <w:right w:w="60" w:type="dxa"/>
            </w:tcMar>
            <w:vAlign w:val="center"/>
          </w:tcPr>
          <w:p w14:paraId="3E721454">
            <w:pPr>
              <w:pStyle w:val="22"/>
              <w:jc w:val="both"/>
              <w:rPr>
                <w:rFonts w:hint="default"/>
              </w:rPr>
            </w:pPr>
            <w:r>
              <w:rPr>
                <w:color w:val="000000"/>
                <w:sz w:val="22"/>
              </w:rPr>
              <w:t>每</w:t>
            </w:r>
            <w:r>
              <w:rPr>
                <w:sz w:val="22"/>
              </w:rPr>
              <w:t>宗</w:t>
            </w:r>
            <w:r>
              <w:rPr>
                <w:color w:val="000000"/>
                <w:sz w:val="22"/>
              </w:rPr>
              <w:t>扣1-3分</w:t>
            </w:r>
          </w:p>
        </w:tc>
        <w:tc>
          <w:tcPr>
            <w:tcW w:w="1105" w:type="dxa"/>
            <w:tcMar>
              <w:top w:w="0" w:type="dxa"/>
              <w:left w:w="60" w:type="dxa"/>
              <w:bottom w:w="0" w:type="dxa"/>
              <w:right w:w="60" w:type="dxa"/>
            </w:tcMar>
            <w:vAlign w:val="center"/>
          </w:tcPr>
          <w:p w14:paraId="41C8BFA9">
            <w:pPr>
              <w:pStyle w:val="22"/>
              <w:jc w:val="both"/>
              <w:rPr>
                <w:rFonts w:hint="default"/>
              </w:rPr>
            </w:pPr>
          </w:p>
        </w:tc>
        <w:tc>
          <w:tcPr>
            <w:tcW w:w="851" w:type="dxa"/>
            <w:tcMar>
              <w:top w:w="0" w:type="dxa"/>
              <w:left w:w="60" w:type="dxa"/>
              <w:bottom w:w="0" w:type="dxa"/>
              <w:right w:w="60" w:type="dxa"/>
            </w:tcMar>
            <w:vAlign w:val="center"/>
          </w:tcPr>
          <w:p w14:paraId="462AA564"/>
        </w:tc>
        <w:tc>
          <w:tcPr>
            <w:tcW w:w="1134" w:type="dxa"/>
            <w:tcMar>
              <w:top w:w="0" w:type="dxa"/>
              <w:left w:w="60" w:type="dxa"/>
              <w:bottom w:w="0" w:type="dxa"/>
              <w:right w:w="60" w:type="dxa"/>
            </w:tcMar>
            <w:vAlign w:val="center"/>
          </w:tcPr>
          <w:p w14:paraId="443DF392"/>
        </w:tc>
      </w:tr>
      <w:tr w14:paraId="46F48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398877C9">
            <w:pPr>
              <w:pStyle w:val="22"/>
              <w:jc w:val="center"/>
              <w:rPr>
                <w:rFonts w:hint="default"/>
              </w:rPr>
            </w:pPr>
            <w:r>
              <w:rPr>
                <w:color w:val="000000"/>
                <w:sz w:val="22"/>
              </w:rPr>
              <w:t>工作纪律（25分）</w:t>
            </w:r>
          </w:p>
        </w:tc>
        <w:tc>
          <w:tcPr>
            <w:tcW w:w="3626" w:type="dxa"/>
            <w:tcMar>
              <w:top w:w="0" w:type="dxa"/>
              <w:left w:w="60" w:type="dxa"/>
              <w:bottom w:w="0" w:type="dxa"/>
              <w:right w:w="60" w:type="dxa"/>
            </w:tcMar>
            <w:vAlign w:val="center"/>
          </w:tcPr>
          <w:p w14:paraId="17EC9289">
            <w:pPr>
              <w:pStyle w:val="22"/>
              <w:jc w:val="both"/>
              <w:rPr>
                <w:rFonts w:hint="default"/>
              </w:rPr>
            </w:pPr>
            <w:r>
              <w:rPr>
                <w:color w:val="000000"/>
                <w:sz w:val="22"/>
              </w:rPr>
              <w:t>工作期间玩手机、睡岗、脱岗、聚岗、不按要求时间站岗、酒后上岗、怠慢工作或做与工作无关的事情。</w:t>
            </w:r>
          </w:p>
        </w:tc>
        <w:tc>
          <w:tcPr>
            <w:tcW w:w="1364" w:type="dxa"/>
            <w:tcMar>
              <w:top w:w="0" w:type="dxa"/>
              <w:left w:w="60" w:type="dxa"/>
              <w:bottom w:w="0" w:type="dxa"/>
              <w:right w:w="60" w:type="dxa"/>
            </w:tcMar>
            <w:vAlign w:val="center"/>
          </w:tcPr>
          <w:p w14:paraId="767A029C">
            <w:pPr>
              <w:pStyle w:val="22"/>
              <w:jc w:val="both"/>
              <w:rPr>
                <w:rFonts w:hint="default"/>
              </w:rPr>
            </w:pPr>
            <w:r>
              <w:rPr>
                <w:color w:val="000000"/>
                <w:sz w:val="22"/>
              </w:rPr>
              <w:t>每</w:t>
            </w:r>
            <w:r>
              <w:rPr>
                <w:sz w:val="22"/>
              </w:rPr>
              <w:t>宗</w:t>
            </w:r>
            <w:r>
              <w:rPr>
                <w:color w:val="000000"/>
                <w:sz w:val="22"/>
              </w:rPr>
              <w:t>扣0.5--2分</w:t>
            </w:r>
          </w:p>
        </w:tc>
        <w:tc>
          <w:tcPr>
            <w:tcW w:w="1105" w:type="dxa"/>
            <w:tcMar>
              <w:top w:w="0" w:type="dxa"/>
              <w:left w:w="60" w:type="dxa"/>
              <w:bottom w:w="0" w:type="dxa"/>
              <w:right w:w="60" w:type="dxa"/>
            </w:tcMar>
            <w:vAlign w:val="center"/>
          </w:tcPr>
          <w:p w14:paraId="4850EBA4">
            <w:pPr>
              <w:pStyle w:val="22"/>
              <w:jc w:val="both"/>
              <w:rPr>
                <w:rFonts w:hint="default"/>
              </w:rPr>
            </w:pPr>
          </w:p>
        </w:tc>
        <w:tc>
          <w:tcPr>
            <w:tcW w:w="851" w:type="dxa"/>
            <w:tcMar>
              <w:top w:w="0" w:type="dxa"/>
              <w:left w:w="60" w:type="dxa"/>
              <w:bottom w:w="0" w:type="dxa"/>
              <w:right w:w="60" w:type="dxa"/>
            </w:tcMar>
            <w:vAlign w:val="center"/>
          </w:tcPr>
          <w:p w14:paraId="1DB7D2BD"/>
        </w:tc>
        <w:tc>
          <w:tcPr>
            <w:tcW w:w="1134" w:type="dxa"/>
            <w:tcMar>
              <w:top w:w="0" w:type="dxa"/>
              <w:left w:w="60" w:type="dxa"/>
              <w:bottom w:w="0" w:type="dxa"/>
              <w:right w:w="60" w:type="dxa"/>
            </w:tcMar>
            <w:vAlign w:val="center"/>
          </w:tcPr>
          <w:p w14:paraId="2356D820"/>
        </w:tc>
      </w:tr>
      <w:tr w14:paraId="01062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08336A9F">
            <w:pPr>
              <w:jc w:val="center"/>
            </w:pPr>
          </w:p>
        </w:tc>
        <w:tc>
          <w:tcPr>
            <w:tcW w:w="3626" w:type="dxa"/>
            <w:tcMar>
              <w:top w:w="0" w:type="dxa"/>
              <w:left w:w="60" w:type="dxa"/>
              <w:bottom w:w="0" w:type="dxa"/>
              <w:right w:w="60" w:type="dxa"/>
            </w:tcMar>
            <w:vAlign w:val="center"/>
          </w:tcPr>
          <w:p w14:paraId="05A9191B">
            <w:pPr>
              <w:pStyle w:val="22"/>
              <w:jc w:val="both"/>
              <w:rPr>
                <w:rFonts w:hint="default"/>
              </w:rPr>
            </w:pPr>
            <w:r>
              <w:rPr>
                <w:color w:val="000000"/>
                <w:sz w:val="22"/>
              </w:rPr>
              <w:t>不按要求进行相关工作登记、记录。不按时进行巡更打点。</w:t>
            </w:r>
          </w:p>
        </w:tc>
        <w:tc>
          <w:tcPr>
            <w:tcW w:w="1364" w:type="dxa"/>
            <w:tcMar>
              <w:top w:w="0" w:type="dxa"/>
              <w:left w:w="60" w:type="dxa"/>
              <w:bottom w:w="0" w:type="dxa"/>
              <w:right w:w="60" w:type="dxa"/>
            </w:tcMar>
            <w:vAlign w:val="center"/>
          </w:tcPr>
          <w:p w14:paraId="0F751C69">
            <w:pPr>
              <w:pStyle w:val="22"/>
              <w:jc w:val="both"/>
              <w:rPr>
                <w:rFonts w:hint="default"/>
              </w:rPr>
            </w:pPr>
            <w:r>
              <w:rPr>
                <w:color w:val="000000"/>
                <w:sz w:val="22"/>
              </w:rPr>
              <w:t>每</w:t>
            </w:r>
            <w:r>
              <w:rPr>
                <w:sz w:val="22"/>
              </w:rPr>
              <w:t>宗</w:t>
            </w:r>
            <w:r>
              <w:rPr>
                <w:color w:val="000000"/>
                <w:sz w:val="22"/>
              </w:rPr>
              <w:t>扣0.5分</w:t>
            </w:r>
          </w:p>
        </w:tc>
        <w:tc>
          <w:tcPr>
            <w:tcW w:w="1105" w:type="dxa"/>
            <w:tcMar>
              <w:top w:w="0" w:type="dxa"/>
              <w:left w:w="60" w:type="dxa"/>
              <w:bottom w:w="0" w:type="dxa"/>
              <w:right w:w="60" w:type="dxa"/>
            </w:tcMar>
            <w:vAlign w:val="center"/>
          </w:tcPr>
          <w:p w14:paraId="0B33E9D5">
            <w:pPr>
              <w:pStyle w:val="22"/>
              <w:jc w:val="both"/>
              <w:rPr>
                <w:rFonts w:hint="default"/>
              </w:rPr>
            </w:pPr>
          </w:p>
        </w:tc>
        <w:tc>
          <w:tcPr>
            <w:tcW w:w="851" w:type="dxa"/>
            <w:tcMar>
              <w:top w:w="0" w:type="dxa"/>
              <w:left w:w="60" w:type="dxa"/>
              <w:bottom w:w="0" w:type="dxa"/>
              <w:right w:w="60" w:type="dxa"/>
            </w:tcMar>
            <w:vAlign w:val="center"/>
          </w:tcPr>
          <w:p w14:paraId="1D4C7ED2"/>
        </w:tc>
        <w:tc>
          <w:tcPr>
            <w:tcW w:w="1134" w:type="dxa"/>
            <w:tcMar>
              <w:top w:w="0" w:type="dxa"/>
              <w:left w:w="60" w:type="dxa"/>
              <w:bottom w:w="0" w:type="dxa"/>
              <w:right w:w="60" w:type="dxa"/>
            </w:tcMar>
            <w:vAlign w:val="center"/>
          </w:tcPr>
          <w:p w14:paraId="6414F967"/>
        </w:tc>
      </w:tr>
      <w:tr w14:paraId="101B9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731BA18B">
            <w:pPr>
              <w:jc w:val="center"/>
            </w:pPr>
          </w:p>
        </w:tc>
        <w:tc>
          <w:tcPr>
            <w:tcW w:w="3626" w:type="dxa"/>
            <w:tcMar>
              <w:top w:w="0" w:type="dxa"/>
              <w:left w:w="60" w:type="dxa"/>
              <w:bottom w:w="0" w:type="dxa"/>
              <w:right w:w="60" w:type="dxa"/>
            </w:tcMar>
            <w:vAlign w:val="center"/>
          </w:tcPr>
          <w:p w14:paraId="68F189A9">
            <w:pPr>
              <w:pStyle w:val="22"/>
              <w:jc w:val="both"/>
              <w:rPr>
                <w:rFonts w:hint="default"/>
              </w:rPr>
            </w:pPr>
            <w:r>
              <w:rPr>
                <w:color w:val="000000"/>
                <w:sz w:val="22"/>
              </w:rPr>
              <w:t>不严格落实中心物资放行制度，私自放行物资车辆出场。</w:t>
            </w:r>
          </w:p>
        </w:tc>
        <w:tc>
          <w:tcPr>
            <w:tcW w:w="1364" w:type="dxa"/>
            <w:tcMar>
              <w:top w:w="0" w:type="dxa"/>
              <w:left w:w="60" w:type="dxa"/>
              <w:bottom w:w="0" w:type="dxa"/>
              <w:right w:w="60" w:type="dxa"/>
            </w:tcMar>
            <w:vAlign w:val="center"/>
          </w:tcPr>
          <w:p w14:paraId="03165B38">
            <w:pPr>
              <w:pStyle w:val="22"/>
              <w:jc w:val="both"/>
              <w:rPr>
                <w:rFonts w:hint="default"/>
              </w:rPr>
            </w:pPr>
            <w:r>
              <w:rPr>
                <w:color w:val="000000"/>
                <w:sz w:val="22"/>
              </w:rPr>
              <w:t>每</w:t>
            </w:r>
            <w:r>
              <w:rPr>
                <w:sz w:val="22"/>
              </w:rPr>
              <w:t>宗</w:t>
            </w:r>
            <w:r>
              <w:rPr>
                <w:color w:val="000000"/>
                <w:sz w:val="22"/>
              </w:rPr>
              <w:t>扣1分</w:t>
            </w:r>
          </w:p>
        </w:tc>
        <w:tc>
          <w:tcPr>
            <w:tcW w:w="1105" w:type="dxa"/>
            <w:tcMar>
              <w:top w:w="0" w:type="dxa"/>
              <w:left w:w="60" w:type="dxa"/>
              <w:bottom w:w="0" w:type="dxa"/>
              <w:right w:w="60" w:type="dxa"/>
            </w:tcMar>
            <w:vAlign w:val="center"/>
          </w:tcPr>
          <w:p w14:paraId="599516F8">
            <w:pPr>
              <w:pStyle w:val="22"/>
              <w:jc w:val="both"/>
              <w:rPr>
                <w:rFonts w:hint="default"/>
              </w:rPr>
            </w:pPr>
          </w:p>
        </w:tc>
        <w:tc>
          <w:tcPr>
            <w:tcW w:w="851" w:type="dxa"/>
            <w:tcMar>
              <w:top w:w="0" w:type="dxa"/>
              <w:left w:w="60" w:type="dxa"/>
              <w:bottom w:w="0" w:type="dxa"/>
              <w:right w:w="60" w:type="dxa"/>
            </w:tcMar>
            <w:vAlign w:val="center"/>
          </w:tcPr>
          <w:p w14:paraId="11122397"/>
        </w:tc>
        <w:tc>
          <w:tcPr>
            <w:tcW w:w="1134" w:type="dxa"/>
            <w:tcMar>
              <w:top w:w="0" w:type="dxa"/>
              <w:left w:w="60" w:type="dxa"/>
              <w:bottom w:w="0" w:type="dxa"/>
              <w:right w:w="60" w:type="dxa"/>
            </w:tcMar>
            <w:vAlign w:val="center"/>
          </w:tcPr>
          <w:p w14:paraId="3A7EC28B"/>
        </w:tc>
      </w:tr>
      <w:tr w14:paraId="4F036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22713094">
            <w:pPr>
              <w:jc w:val="center"/>
            </w:pPr>
          </w:p>
        </w:tc>
        <w:tc>
          <w:tcPr>
            <w:tcW w:w="3626" w:type="dxa"/>
            <w:tcMar>
              <w:top w:w="0" w:type="dxa"/>
              <w:left w:w="60" w:type="dxa"/>
              <w:bottom w:w="0" w:type="dxa"/>
              <w:right w:w="60" w:type="dxa"/>
            </w:tcMar>
            <w:vAlign w:val="center"/>
          </w:tcPr>
          <w:p w14:paraId="62BC1228">
            <w:pPr>
              <w:pStyle w:val="22"/>
              <w:jc w:val="both"/>
              <w:rPr>
                <w:rFonts w:hint="default"/>
              </w:rPr>
            </w:pPr>
            <w:r>
              <w:rPr>
                <w:color w:val="000000"/>
                <w:sz w:val="22"/>
              </w:rPr>
              <w:t>不按要求对来访、施工等入场人员安全管理、证件查验。</w:t>
            </w:r>
          </w:p>
        </w:tc>
        <w:tc>
          <w:tcPr>
            <w:tcW w:w="1364" w:type="dxa"/>
            <w:tcMar>
              <w:top w:w="0" w:type="dxa"/>
              <w:left w:w="60" w:type="dxa"/>
              <w:bottom w:w="0" w:type="dxa"/>
              <w:right w:w="60" w:type="dxa"/>
            </w:tcMar>
            <w:vAlign w:val="center"/>
          </w:tcPr>
          <w:p w14:paraId="195CEF66">
            <w:pPr>
              <w:pStyle w:val="22"/>
              <w:jc w:val="both"/>
              <w:rPr>
                <w:rFonts w:hint="default"/>
              </w:rPr>
            </w:pPr>
            <w:r>
              <w:rPr>
                <w:color w:val="000000"/>
                <w:sz w:val="22"/>
              </w:rPr>
              <w:t>每</w:t>
            </w:r>
            <w:r>
              <w:rPr>
                <w:sz w:val="22"/>
              </w:rPr>
              <w:t>宗</w:t>
            </w:r>
            <w:r>
              <w:rPr>
                <w:color w:val="000000"/>
                <w:sz w:val="22"/>
              </w:rPr>
              <w:t>扣1分</w:t>
            </w:r>
          </w:p>
        </w:tc>
        <w:tc>
          <w:tcPr>
            <w:tcW w:w="1105" w:type="dxa"/>
            <w:tcMar>
              <w:top w:w="0" w:type="dxa"/>
              <w:left w:w="60" w:type="dxa"/>
              <w:bottom w:w="0" w:type="dxa"/>
              <w:right w:w="60" w:type="dxa"/>
            </w:tcMar>
            <w:vAlign w:val="center"/>
          </w:tcPr>
          <w:p w14:paraId="3338939B">
            <w:pPr>
              <w:pStyle w:val="22"/>
              <w:jc w:val="both"/>
              <w:rPr>
                <w:rFonts w:hint="default"/>
              </w:rPr>
            </w:pPr>
          </w:p>
        </w:tc>
        <w:tc>
          <w:tcPr>
            <w:tcW w:w="851" w:type="dxa"/>
            <w:tcMar>
              <w:top w:w="0" w:type="dxa"/>
              <w:left w:w="60" w:type="dxa"/>
              <w:bottom w:w="0" w:type="dxa"/>
              <w:right w:w="60" w:type="dxa"/>
            </w:tcMar>
            <w:vAlign w:val="center"/>
          </w:tcPr>
          <w:p w14:paraId="51709A66"/>
        </w:tc>
        <w:tc>
          <w:tcPr>
            <w:tcW w:w="1134" w:type="dxa"/>
            <w:tcMar>
              <w:top w:w="0" w:type="dxa"/>
              <w:left w:w="60" w:type="dxa"/>
              <w:bottom w:w="0" w:type="dxa"/>
              <w:right w:w="60" w:type="dxa"/>
            </w:tcMar>
            <w:vAlign w:val="center"/>
          </w:tcPr>
          <w:p w14:paraId="1CE45189"/>
        </w:tc>
      </w:tr>
      <w:tr w14:paraId="433F6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6E322E94">
            <w:pPr>
              <w:pStyle w:val="22"/>
              <w:jc w:val="center"/>
              <w:rPr>
                <w:rFonts w:hint="default"/>
              </w:rPr>
            </w:pPr>
            <w:r>
              <w:rPr>
                <w:color w:val="000000"/>
                <w:sz w:val="22"/>
              </w:rPr>
              <w:t>交通、安全巡查管理（10分）</w:t>
            </w:r>
          </w:p>
        </w:tc>
        <w:tc>
          <w:tcPr>
            <w:tcW w:w="3626" w:type="dxa"/>
            <w:tcMar>
              <w:top w:w="0" w:type="dxa"/>
              <w:left w:w="60" w:type="dxa"/>
              <w:bottom w:w="0" w:type="dxa"/>
              <w:right w:w="60" w:type="dxa"/>
            </w:tcMar>
            <w:vAlign w:val="center"/>
          </w:tcPr>
          <w:p w14:paraId="50DFBD26">
            <w:pPr>
              <w:pStyle w:val="22"/>
              <w:jc w:val="both"/>
              <w:rPr>
                <w:rFonts w:hint="default"/>
              </w:rPr>
            </w:pPr>
            <w:r>
              <w:rPr>
                <w:color w:val="000000"/>
                <w:sz w:val="22"/>
              </w:rPr>
              <w:t>车辆出入有序，道路通畅，入场车辆有序停放，无乱停乱放。</w:t>
            </w:r>
          </w:p>
        </w:tc>
        <w:tc>
          <w:tcPr>
            <w:tcW w:w="1364" w:type="dxa"/>
            <w:tcMar>
              <w:top w:w="0" w:type="dxa"/>
              <w:left w:w="60" w:type="dxa"/>
              <w:bottom w:w="0" w:type="dxa"/>
              <w:right w:w="60" w:type="dxa"/>
            </w:tcMar>
            <w:vAlign w:val="center"/>
          </w:tcPr>
          <w:p w14:paraId="2B4B38B1">
            <w:pPr>
              <w:pStyle w:val="22"/>
              <w:jc w:val="both"/>
              <w:rPr>
                <w:rFonts w:hint="default"/>
              </w:rPr>
            </w:pPr>
            <w:r>
              <w:rPr>
                <w:color w:val="000000"/>
                <w:sz w:val="22"/>
              </w:rPr>
              <w:t>每</w:t>
            </w:r>
            <w:r>
              <w:rPr>
                <w:sz w:val="22"/>
              </w:rPr>
              <w:t>宗</w:t>
            </w:r>
            <w:r>
              <w:rPr>
                <w:color w:val="000000"/>
                <w:sz w:val="22"/>
              </w:rPr>
              <w:t>扣0.5分</w:t>
            </w:r>
          </w:p>
        </w:tc>
        <w:tc>
          <w:tcPr>
            <w:tcW w:w="1105" w:type="dxa"/>
            <w:tcMar>
              <w:top w:w="0" w:type="dxa"/>
              <w:left w:w="60" w:type="dxa"/>
              <w:bottom w:w="0" w:type="dxa"/>
              <w:right w:w="60" w:type="dxa"/>
            </w:tcMar>
            <w:vAlign w:val="center"/>
          </w:tcPr>
          <w:p w14:paraId="632D86F6">
            <w:pPr>
              <w:pStyle w:val="22"/>
              <w:jc w:val="both"/>
              <w:rPr>
                <w:rFonts w:hint="default"/>
              </w:rPr>
            </w:pPr>
          </w:p>
        </w:tc>
        <w:tc>
          <w:tcPr>
            <w:tcW w:w="851" w:type="dxa"/>
            <w:tcMar>
              <w:top w:w="0" w:type="dxa"/>
              <w:left w:w="60" w:type="dxa"/>
              <w:bottom w:w="0" w:type="dxa"/>
              <w:right w:w="60" w:type="dxa"/>
            </w:tcMar>
            <w:vAlign w:val="center"/>
          </w:tcPr>
          <w:p w14:paraId="4E976A22"/>
        </w:tc>
        <w:tc>
          <w:tcPr>
            <w:tcW w:w="1134" w:type="dxa"/>
            <w:tcMar>
              <w:top w:w="0" w:type="dxa"/>
              <w:left w:w="60" w:type="dxa"/>
              <w:bottom w:w="0" w:type="dxa"/>
              <w:right w:w="60" w:type="dxa"/>
            </w:tcMar>
            <w:vAlign w:val="center"/>
          </w:tcPr>
          <w:p w14:paraId="0D66B82A"/>
        </w:tc>
      </w:tr>
      <w:tr w14:paraId="2BD05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20F614B5">
            <w:pPr>
              <w:jc w:val="center"/>
            </w:pPr>
          </w:p>
        </w:tc>
        <w:tc>
          <w:tcPr>
            <w:tcW w:w="3626" w:type="dxa"/>
            <w:tcMar>
              <w:top w:w="0" w:type="dxa"/>
              <w:left w:w="60" w:type="dxa"/>
              <w:bottom w:w="0" w:type="dxa"/>
              <w:right w:w="60" w:type="dxa"/>
            </w:tcMar>
            <w:vAlign w:val="center"/>
          </w:tcPr>
          <w:p w14:paraId="2B6D26B9">
            <w:pPr>
              <w:pStyle w:val="22"/>
              <w:jc w:val="both"/>
              <w:rPr>
                <w:rFonts w:hint="default"/>
              </w:rPr>
            </w:pPr>
            <w:r>
              <w:rPr>
                <w:color w:val="000000"/>
                <w:sz w:val="22"/>
              </w:rPr>
              <w:t>巡查区域门、锁、玻璃齐全、正常，无安全隐患，公共区域秩序良好。广场区域严禁放风筝、无人机，平面范围无擅自叫卖点、售卖等情况。</w:t>
            </w:r>
          </w:p>
        </w:tc>
        <w:tc>
          <w:tcPr>
            <w:tcW w:w="1364" w:type="dxa"/>
            <w:tcMar>
              <w:top w:w="0" w:type="dxa"/>
              <w:left w:w="60" w:type="dxa"/>
              <w:bottom w:w="0" w:type="dxa"/>
              <w:right w:w="60" w:type="dxa"/>
            </w:tcMar>
            <w:vAlign w:val="center"/>
          </w:tcPr>
          <w:p w14:paraId="058B8D52">
            <w:pPr>
              <w:pStyle w:val="22"/>
              <w:jc w:val="both"/>
              <w:rPr>
                <w:rFonts w:hint="default"/>
              </w:rPr>
            </w:pPr>
            <w:r>
              <w:rPr>
                <w:color w:val="000000"/>
                <w:sz w:val="22"/>
              </w:rPr>
              <w:t>每</w:t>
            </w:r>
            <w:r>
              <w:rPr>
                <w:sz w:val="22"/>
              </w:rPr>
              <w:t>宗</w:t>
            </w:r>
            <w:r>
              <w:rPr>
                <w:color w:val="000000"/>
                <w:sz w:val="22"/>
              </w:rPr>
              <w:t>扣0.5分</w:t>
            </w:r>
          </w:p>
        </w:tc>
        <w:tc>
          <w:tcPr>
            <w:tcW w:w="1105" w:type="dxa"/>
            <w:tcMar>
              <w:top w:w="0" w:type="dxa"/>
              <w:left w:w="60" w:type="dxa"/>
              <w:bottom w:w="0" w:type="dxa"/>
              <w:right w:w="60" w:type="dxa"/>
            </w:tcMar>
            <w:vAlign w:val="center"/>
          </w:tcPr>
          <w:p w14:paraId="5F760F87">
            <w:pPr>
              <w:pStyle w:val="22"/>
              <w:jc w:val="both"/>
              <w:rPr>
                <w:rFonts w:hint="default"/>
              </w:rPr>
            </w:pPr>
          </w:p>
        </w:tc>
        <w:tc>
          <w:tcPr>
            <w:tcW w:w="851" w:type="dxa"/>
            <w:tcMar>
              <w:top w:w="0" w:type="dxa"/>
              <w:left w:w="60" w:type="dxa"/>
              <w:bottom w:w="0" w:type="dxa"/>
              <w:right w:w="60" w:type="dxa"/>
            </w:tcMar>
            <w:vAlign w:val="center"/>
          </w:tcPr>
          <w:p w14:paraId="2675C735"/>
        </w:tc>
        <w:tc>
          <w:tcPr>
            <w:tcW w:w="1134" w:type="dxa"/>
            <w:tcMar>
              <w:top w:w="0" w:type="dxa"/>
              <w:left w:w="60" w:type="dxa"/>
              <w:bottom w:w="0" w:type="dxa"/>
              <w:right w:w="60" w:type="dxa"/>
            </w:tcMar>
            <w:vAlign w:val="center"/>
          </w:tcPr>
          <w:p w14:paraId="340014D3"/>
        </w:tc>
      </w:tr>
      <w:tr w14:paraId="1204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26891BE5">
            <w:pPr>
              <w:pStyle w:val="22"/>
              <w:jc w:val="center"/>
              <w:rPr>
                <w:rFonts w:hint="default"/>
              </w:rPr>
            </w:pPr>
            <w:r>
              <w:rPr>
                <w:rFonts w:hint="eastAsia"/>
                <w:color w:val="000000"/>
                <w:sz w:val="22"/>
                <w:lang w:val="en-US" w:eastAsia="zh-CN"/>
              </w:rPr>
              <w:t>队伍建设</w:t>
            </w:r>
            <w:r>
              <w:rPr>
                <w:color w:val="000000"/>
                <w:sz w:val="22"/>
              </w:rPr>
              <w:t>（15分）</w:t>
            </w:r>
          </w:p>
        </w:tc>
        <w:tc>
          <w:tcPr>
            <w:tcW w:w="3626" w:type="dxa"/>
            <w:tcMar>
              <w:top w:w="0" w:type="dxa"/>
              <w:left w:w="60" w:type="dxa"/>
              <w:bottom w:w="0" w:type="dxa"/>
              <w:right w:w="60" w:type="dxa"/>
            </w:tcMar>
            <w:vAlign w:val="center"/>
          </w:tcPr>
          <w:p w14:paraId="36DF7CC3">
            <w:pPr>
              <w:pStyle w:val="22"/>
              <w:jc w:val="both"/>
              <w:rPr>
                <w:rFonts w:hint="default"/>
                <w:color w:val="000000"/>
                <w:sz w:val="22"/>
              </w:rPr>
            </w:pPr>
            <w:r>
              <w:rPr>
                <w:color w:val="000000"/>
                <w:sz w:val="22"/>
              </w:rPr>
              <w:t>未按照合同或甲方的岗位配置需求安排上岗人员</w:t>
            </w:r>
          </w:p>
        </w:tc>
        <w:tc>
          <w:tcPr>
            <w:tcW w:w="1364" w:type="dxa"/>
            <w:tcMar>
              <w:top w:w="0" w:type="dxa"/>
              <w:left w:w="60" w:type="dxa"/>
              <w:bottom w:w="0" w:type="dxa"/>
              <w:right w:w="60" w:type="dxa"/>
            </w:tcMar>
            <w:vAlign w:val="center"/>
          </w:tcPr>
          <w:p w14:paraId="1BAAF967">
            <w:pPr>
              <w:pStyle w:val="22"/>
              <w:jc w:val="both"/>
              <w:rPr>
                <w:rFonts w:hint="default"/>
              </w:rPr>
            </w:pPr>
            <w:r>
              <w:rPr>
                <w:color w:val="000000"/>
                <w:sz w:val="22"/>
              </w:rPr>
              <w:t>每</w:t>
            </w:r>
            <w:r>
              <w:rPr>
                <w:sz w:val="22"/>
              </w:rPr>
              <w:t>人/次</w:t>
            </w:r>
            <w:r>
              <w:rPr>
                <w:color w:val="000000"/>
                <w:sz w:val="22"/>
              </w:rPr>
              <w:t>扣2分</w:t>
            </w:r>
          </w:p>
        </w:tc>
        <w:tc>
          <w:tcPr>
            <w:tcW w:w="1105" w:type="dxa"/>
            <w:tcMar>
              <w:top w:w="0" w:type="dxa"/>
              <w:left w:w="60" w:type="dxa"/>
              <w:bottom w:w="0" w:type="dxa"/>
              <w:right w:w="60" w:type="dxa"/>
            </w:tcMar>
            <w:vAlign w:val="center"/>
          </w:tcPr>
          <w:p w14:paraId="4737516E">
            <w:pPr>
              <w:pStyle w:val="22"/>
              <w:jc w:val="both"/>
              <w:rPr>
                <w:rFonts w:hint="default"/>
              </w:rPr>
            </w:pPr>
          </w:p>
        </w:tc>
        <w:tc>
          <w:tcPr>
            <w:tcW w:w="851" w:type="dxa"/>
            <w:tcMar>
              <w:top w:w="0" w:type="dxa"/>
              <w:left w:w="60" w:type="dxa"/>
              <w:bottom w:w="0" w:type="dxa"/>
              <w:right w:w="60" w:type="dxa"/>
            </w:tcMar>
            <w:vAlign w:val="center"/>
          </w:tcPr>
          <w:p w14:paraId="5A5857CF"/>
        </w:tc>
        <w:tc>
          <w:tcPr>
            <w:tcW w:w="1134" w:type="dxa"/>
            <w:tcMar>
              <w:top w:w="0" w:type="dxa"/>
              <w:left w:w="60" w:type="dxa"/>
              <w:bottom w:w="0" w:type="dxa"/>
              <w:right w:w="60" w:type="dxa"/>
            </w:tcMar>
            <w:vAlign w:val="center"/>
          </w:tcPr>
          <w:p w14:paraId="01007298"/>
        </w:tc>
      </w:tr>
      <w:tr w14:paraId="07ECA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tcMar>
              <w:top w:w="0" w:type="dxa"/>
              <w:left w:w="60" w:type="dxa"/>
              <w:bottom w:w="0" w:type="dxa"/>
              <w:right w:w="60" w:type="dxa"/>
            </w:tcMar>
            <w:vAlign w:val="center"/>
          </w:tcPr>
          <w:p w14:paraId="62E91949">
            <w:pPr>
              <w:pStyle w:val="22"/>
              <w:jc w:val="center"/>
              <w:rPr>
                <w:color w:val="000000"/>
                <w:sz w:val="22"/>
              </w:rPr>
            </w:pPr>
          </w:p>
        </w:tc>
        <w:tc>
          <w:tcPr>
            <w:tcW w:w="3626" w:type="dxa"/>
            <w:tcMar>
              <w:top w:w="0" w:type="dxa"/>
              <w:left w:w="60" w:type="dxa"/>
              <w:bottom w:w="0" w:type="dxa"/>
              <w:right w:w="60" w:type="dxa"/>
            </w:tcMar>
            <w:vAlign w:val="center"/>
          </w:tcPr>
          <w:p w14:paraId="2DE7BB12">
            <w:pPr>
              <w:pStyle w:val="22"/>
              <w:jc w:val="both"/>
              <w:rPr>
                <w:color w:val="000000"/>
                <w:sz w:val="22"/>
              </w:rPr>
            </w:pPr>
            <w:r>
              <w:rPr>
                <w:rFonts w:hint="default"/>
                <w:color w:val="000000"/>
                <w:sz w:val="22"/>
                <w:lang w:val="en-US" w:eastAsia="zh-CN"/>
              </w:rPr>
              <w:t>每月人员流动数量超过实际在岗保安员总数量的10%</w:t>
            </w:r>
            <w:r>
              <w:rPr>
                <w:rFonts w:hint="eastAsia"/>
                <w:color w:val="000000"/>
                <w:sz w:val="22"/>
                <w:lang w:val="en-US" w:eastAsia="zh-CN"/>
              </w:rPr>
              <w:t>。</w:t>
            </w:r>
          </w:p>
        </w:tc>
        <w:tc>
          <w:tcPr>
            <w:tcW w:w="1364" w:type="dxa"/>
            <w:tcMar>
              <w:top w:w="0" w:type="dxa"/>
              <w:left w:w="60" w:type="dxa"/>
              <w:bottom w:w="0" w:type="dxa"/>
              <w:right w:w="60" w:type="dxa"/>
            </w:tcMar>
            <w:vAlign w:val="center"/>
          </w:tcPr>
          <w:p w14:paraId="45214401">
            <w:pPr>
              <w:pStyle w:val="22"/>
              <w:jc w:val="both"/>
              <w:rPr>
                <w:rFonts w:hint="default" w:eastAsiaTheme="minorEastAsia"/>
                <w:color w:val="000000"/>
                <w:sz w:val="22"/>
                <w:lang w:val="en-US" w:eastAsia="zh-CN"/>
              </w:rPr>
            </w:pPr>
            <w:r>
              <w:rPr>
                <w:rFonts w:hint="eastAsia"/>
                <w:color w:val="000000"/>
                <w:sz w:val="22"/>
                <w:lang w:val="en-US" w:eastAsia="zh-CN"/>
              </w:rPr>
              <w:t>视情况扣1-5分</w:t>
            </w:r>
          </w:p>
        </w:tc>
        <w:tc>
          <w:tcPr>
            <w:tcW w:w="1105" w:type="dxa"/>
            <w:tcMar>
              <w:top w:w="0" w:type="dxa"/>
              <w:left w:w="60" w:type="dxa"/>
              <w:bottom w:w="0" w:type="dxa"/>
              <w:right w:w="60" w:type="dxa"/>
            </w:tcMar>
            <w:vAlign w:val="center"/>
          </w:tcPr>
          <w:p w14:paraId="0C552026">
            <w:pPr>
              <w:pStyle w:val="22"/>
              <w:jc w:val="both"/>
              <w:rPr>
                <w:rFonts w:hint="default"/>
              </w:rPr>
            </w:pPr>
          </w:p>
        </w:tc>
        <w:tc>
          <w:tcPr>
            <w:tcW w:w="851" w:type="dxa"/>
            <w:tcMar>
              <w:top w:w="0" w:type="dxa"/>
              <w:left w:w="60" w:type="dxa"/>
              <w:bottom w:w="0" w:type="dxa"/>
              <w:right w:w="60" w:type="dxa"/>
            </w:tcMar>
            <w:vAlign w:val="center"/>
          </w:tcPr>
          <w:p w14:paraId="27501000"/>
        </w:tc>
        <w:tc>
          <w:tcPr>
            <w:tcW w:w="1134" w:type="dxa"/>
            <w:tcMar>
              <w:top w:w="0" w:type="dxa"/>
              <w:left w:w="60" w:type="dxa"/>
              <w:bottom w:w="0" w:type="dxa"/>
              <w:right w:w="60" w:type="dxa"/>
            </w:tcMar>
            <w:vAlign w:val="center"/>
          </w:tcPr>
          <w:p w14:paraId="59786CDA"/>
        </w:tc>
      </w:tr>
      <w:tr w14:paraId="7B1D5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tcMar>
              <w:top w:w="0" w:type="dxa"/>
              <w:left w:w="60" w:type="dxa"/>
              <w:bottom w:w="0" w:type="dxa"/>
              <w:right w:w="60" w:type="dxa"/>
            </w:tcMar>
            <w:vAlign w:val="center"/>
          </w:tcPr>
          <w:p w14:paraId="613119E2">
            <w:pPr>
              <w:pStyle w:val="22"/>
              <w:jc w:val="center"/>
              <w:rPr>
                <w:rFonts w:hint="default"/>
              </w:rPr>
            </w:pPr>
          </w:p>
        </w:tc>
        <w:tc>
          <w:tcPr>
            <w:tcW w:w="3626" w:type="dxa"/>
            <w:tcMar>
              <w:top w:w="0" w:type="dxa"/>
              <w:left w:w="60" w:type="dxa"/>
              <w:bottom w:w="0" w:type="dxa"/>
              <w:right w:w="60" w:type="dxa"/>
            </w:tcMar>
            <w:vAlign w:val="center"/>
          </w:tcPr>
          <w:p w14:paraId="71B12616">
            <w:pPr>
              <w:pStyle w:val="22"/>
              <w:jc w:val="both"/>
              <w:rPr>
                <w:rFonts w:hint="default"/>
              </w:rPr>
            </w:pPr>
            <w:r>
              <w:rPr>
                <w:color w:val="000000"/>
                <w:sz w:val="22"/>
              </w:rPr>
              <w:t>每月技能培训</w:t>
            </w:r>
            <w:r>
              <w:rPr>
                <w:rFonts w:hint="eastAsia"/>
                <w:color w:val="000000"/>
                <w:sz w:val="22"/>
                <w:lang w:val="en-US" w:eastAsia="zh-CN"/>
              </w:rPr>
              <w:t>少于</w:t>
            </w:r>
            <w:r>
              <w:rPr>
                <w:color w:val="000000"/>
                <w:sz w:val="22"/>
              </w:rPr>
              <w:t>1次（防暴、消防、</w:t>
            </w:r>
            <w:r>
              <w:rPr>
                <w:rFonts w:hint="eastAsia"/>
                <w:color w:val="000000"/>
                <w:sz w:val="22"/>
                <w:lang w:val="en-US" w:eastAsia="zh-CN"/>
              </w:rPr>
              <w:t>防汛、心肺复苏</w:t>
            </w:r>
            <w:r>
              <w:rPr>
                <w:color w:val="000000"/>
                <w:sz w:val="22"/>
              </w:rPr>
              <w:t>、反恐等）</w:t>
            </w:r>
          </w:p>
        </w:tc>
        <w:tc>
          <w:tcPr>
            <w:tcW w:w="1364" w:type="dxa"/>
            <w:tcMar>
              <w:top w:w="0" w:type="dxa"/>
              <w:left w:w="60" w:type="dxa"/>
              <w:bottom w:w="0" w:type="dxa"/>
              <w:right w:w="60" w:type="dxa"/>
            </w:tcMar>
            <w:vAlign w:val="center"/>
          </w:tcPr>
          <w:p w14:paraId="6C81642B">
            <w:pPr>
              <w:pStyle w:val="22"/>
              <w:jc w:val="both"/>
              <w:rPr>
                <w:rFonts w:hint="default"/>
              </w:rPr>
            </w:pPr>
            <w:r>
              <w:rPr>
                <w:color w:val="000000"/>
                <w:sz w:val="22"/>
              </w:rPr>
              <w:t>每缺少一次扣2分</w:t>
            </w:r>
          </w:p>
        </w:tc>
        <w:tc>
          <w:tcPr>
            <w:tcW w:w="1105" w:type="dxa"/>
            <w:tcMar>
              <w:top w:w="0" w:type="dxa"/>
              <w:left w:w="60" w:type="dxa"/>
              <w:bottom w:w="0" w:type="dxa"/>
              <w:right w:w="60" w:type="dxa"/>
            </w:tcMar>
            <w:vAlign w:val="center"/>
          </w:tcPr>
          <w:p w14:paraId="31CF35AC">
            <w:pPr>
              <w:pStyle w:val="22"/>
              <w:jc w:val="both"/>
              <w:rPr>
                <w:rFonts w:hint="default"/>
              </w:rPr>
            </w:pPr>
          </w:p>
        </w:tc>
        <w:tc>
          <w:tcPr>
            <w:tcW w:w="851" w:type="dxa"/>
            <w:tcMar>
              <w:top w:w="0" w:type="dxa"/>
              <w:left w:w="60" w:type="dxa"/>
              <w:bottom w:w="0" w:type="dxa"/>
              <w:right w:w="60" w:type="dxa"/>
            </w:tcMar>
            <w:vAlign w:val="center"/>
          </w:tcPr>
          <w:p w14:paraId="646D83FD"/>
        </w:tc>
        <w:tc>
          <w:tcPr>
            <w:tcW w:w="1134" w:type="dxa"/>
            <w:tcMar>
              <w:top w:w="0" w:type="dxa"/>
              <w:left w:w="60" w:type="dxa"/>
              <w:bottom w:w="0" w:type="dxa"/>
              <w:right w:w="60" w:type="dxa"/>
            </w:tcMar>
            <w:vAlign w:val="center"/>
          </w:tcPr>
          <w:p w14:paraId="5916EBB5"/>
        </w:tc>
      </w:tr>
      <w:tr w14:paraId="71BA0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tcMar>
              <w:top w:w="0" w:type="dxa"/>
              <w:left w:w="60" w:type="dxa"/>
              <w:bottom w:w="0" w:type="dxa"/>
              <w:right w:w="60" w:type="dxa"/>
            </w:tcMar>
            <w:vAlign w:val="center"/>
          </w:tcPr>
          <w:p w14:paraId="7F6EBC9C">
            <w:pPr>
              <w:pStyle w:val="22"/>
              <w:jc w:val="center"/>
              <w:rPr>
                <w:rFonts w:hint="default"/>
              </w:rPr>
            </w:pPr>
          </w:p>
        </w:tc>
        <w:tc>
          <w:tcPr>
            <w:tcW w:w="3626" w:type="dxa"/>
            <w:tcMar>
              <w:top w:w="0" w:type="dxa"/>
              <w:left w:w="60" w:type="dxa"/>
              <w:bottom w:w="0" w:type="dxa"/>
              <w:right w:w="60" w:type="dxa"/>
            </w:tcMar>
            <w:vAlign w:val="center"/>
          </w:tcPr>
          <w:p w14:paraId="23A1B7D5">
            <w:pPr>
              <w:pStyle w:val="22"/>
              <w:jc w:val="both"/>
              <w:rPr>
                <w:rFonts w:hint="default" w:eastAsiaTheme="minorEastAsia"/>
                <w:color w:val="000000"/>
                <w:sz w:val="22"/>
                <w:lang w:val="en-US" w:eastAsia="zh-CN"/>
              </w:rPr>
            </w:pPr>
            <w:r>
              <w:rPr>
                <w:rFonts w:hint="eastAsia"/>
                <w:color w:val="000000"/>
                <w:sz w:val="22"/>
                <w:lang w:val="en-US" w:eastAsia="zh-CN"/>
              </w:rPr>
              <w:t>未每季度对服务人员进行奖惩考核，或考核情况未报备甲方。</w:t>
            </w:r>
          </w:p>
        </w:tc>
        <w:tc>
          <w:tcPr>
            <w:tcW w:w="1364" w:type="dxa"/>
            <w:tcMar>
              <w:top w:w="0" w:type="dxa"/>
              <w:left w:w="60" w:type="dxa"/>
              <w:bottom w:w="0" w:type="dxa"/>
              <w:right w:w="60" w:type="dxa"/>
            </w:tcMar>
            <w:vAlign w:val="center"/>
          </w:tcPr>
          <w:p w14:paraId="261C4E6A">
            <w:pPr>
              <w:pStyle w:val="22"/>
              <w:jc w:val="both"/>
              <w:rPr>
                <w:rFonts w:hint="default" w:eastAsiaTheme="minorEastAsia"/>
                <w:color w:val="000000"/>
                <w:sz w:val="22"/>
                <w:lang w:val="en-US" w:eastAsia="zh-CN"/>
              </w:rPr>
            </w:pPr>
            <w:r>
              <w:rPr>
                <w:rFonts w:hint="eastAsia"/>
                <w:color w:val="000000"/>
                <w:sz w:val="22"/>
                <w:lang w:val="en-US" w:eastAsia="zh-CN"/>
              </w:rPr>
              <w:t>扣2分，未报备扣1分</w:t>
            </w:r>
          </w:p>
        </w:tc>
        <w:tc>
          <w:tcPr>
            <w:tcW w:w="1105" w:type="dxa"/>
            <w:tcMar>
              <w:top w:w="0" w:type="dxa"/>
              <w:left w:w="60" w:type="dxa"/>
              <w:bottom w:w="0" w:type="dxa"/>
              <w:right w:w="60" w:type="dxa"/>
            </w:tcMar>
            <w:vAlign w:val="center"/>
          </w:tcPr>
          <w:p w14:paraId="6474D9D9">
            <w:pPr>
              <w:pStyle w:val="22"/>
              <w:jc w:val="both"/>
              <w:rPr>
                <w:rFonts w:hint="default"/>
              </w:rPr>
            </w:pPr>
          </w:p>
        </w:tc>
        <w:tc>
          <w:tcPr>
            <w:tcW w:w="851" w:type="dxa"/>
            <w:tcMar>
              <w:top w:w="0" w:type="dxa"/>
              <w:left w:w="60" w:type="dxa"/>
              <w:bottom w:w="0" w:type="dxa"/>
              <w:right w:w="60" w:type="dxa"/>
            </w:tcMar>
            <w:vAlign w:val="center"/>
          </w:tcPr>
          <w:p w14:paraId="33DCA8F0"/>
        </w:tc>
        <w:tc>
          <w:tcPr>
            <w:tcW w:w="1134" w:type="dxa"/>
            <w:tcMar>
              <w:top w:w="0" w:type="dxa"/>
              <w:left w:w="60" w:type="dxa"/>
              <w:bottom w:w="0" w:type="dxa"/>
              <w:right w:w="60" w:type="dxa"/>
            </w:tcMar>
            <w:vAlign w:val="center"/>
          </w:tcPr>
          <w:p w14:paraId="3B60C8F9"/>
        </w:tc>
      </w:tr>
      <w:tr w14:paraId="1BCB9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tcMar>
              <w:top w:w="0" w:type="dxa"/>
              <w:left w:w="60" w:type="dxa"/>
              <w:bottom w:w="0" w:type="dxa"/>
              <w:right w:w="60" w:type="dxa"/>
            </w:tcMar>
            <w:vAlign w:val="center"/>
          </w:tcPr>
          <w:p w14:paraId="2609A8BD">
            <w:pPr>
              <w:pStyle w:val="22"/>
              <w:jc w:val="center"/>
              <w:rPr>
                <w:rFonts w:hint="default"/>
              </w:rPr>
            </w:pPr>
            <w:r>
              <w:rPr>
                <w:color w:val="000000"/>
                <w:sz w:val="22"/>
              </w:rPr>
              <w:t>物资配置（</w:t>
            </w:r>
            <w:r>
              <w:rPr>
                <w:rFonts w:hint="eastAsia"/>
                <w:color w:val="000000"/>
                <w:sz w:val="22"/>
                <w:lang w:val="en-US" w:eastAsia="zh-CN"/>
              </w:rPr>
              <w:t>10</w:t>
            </w:r>
            <w:r>
              <w:rPr>
                <w:color w:val="000000"/>
                <w:sz w:val="22"/>
              </w:rPr>
              <w:t>分）</w:t>
            </w:r>
          </w:p>
        </w:tc>
        <w:tc>
          <w:tcPr>
            <w:tcW w:w="3626" w:type="dxa"/>
            <w:tcMar>
              <w:top w:w="0" w:type="dxa"/>
              <w:left w:w="60" w:type="dxa"/>
              <w:bottom w:w="0" w:type="dxa"/>
              <w:right w:w="60" w:type="dxa"/>
            </w:tcMar>
            <w:vAlign w:val="center"/>
          </w:tcPr>
          <w:p w14:paraId="072AB13B">
            <w:pPr>
              <w:pStyle w:val="22"/>
              <w:jc w:val="both"/>
              <w:rPr>
                <w:rFonts w:hint="default"/>
              </w:rPr>
            </w:pPr>
            <w:r>
              <w:rPr>
                <w:color w:val="000000"/>
                <w:sz w:val="22"/>
              </w:rPr>
              <w:t>固定岗位配置防暴器材一套、配置治安巡查两轮电瓶车</w:t>
            </w:r>
            <w:r>
              <w:rPr>
                <w:rFonts w:hint="eastAsia"/>
                <w:color w:val="000000"/>
                <w:sz w:val="22"/>
                <w:lang w:val="en-US" w:eastAsia="zh-CN"/>
              </w:rPr>
              <w:t>8</w:t>
            </w:r>
            <w:r>
              <w:rPr>
                <w:color w:val="000000"/>
                <w:sz w:val="22"/>
              </w:rPr>
              <w:t>辆、四轮电瓶车</w:t>
            </w:r>
            <w:r>
              <w:rPr>
                <w:rFonts w:hint="eastAsia"/>
                <w:color w:val="000000"/>
                <w:sz w:val="22"/>
                <w:lang w:val="en-US" w:eastAsia="zh-CN"/>
              </w:rPr>
              <w:t>2</w:t>
            </w:r>
            <w:r>
              <w:rPr>
                <w:color w:val="000000"/>
                <w:sz w:val="22"/>
              </w:rPr>
              <w:t>辆，且均可正常使用。</w:t>
            </w:r>
          </w:p>
        </w:tc>
        <w:tc>
          <w:tcPr>
            <w:tcW w:w="1364" w:type="dxa"/>
            <w:tcMar>
              <w:top w:w="0" w:type="dxa"/>
              <w:left w:w="60" w:type="dxa"/>
              <w:bottom w:w="0" w:type="dxa"/>
              <w:right w:w="60" w:type="dxa"/>
            </w:tcMar>
            <w:vAlign w:val="center"/>
          </w:tcPr>
          <w:p w14:paraId="2F46D209">
            <w:pPr>
              <w:pStyle w:val="22"/>
              <w:jc w:val="both"/>
              <w:rPr>
                <w:rFonts w:hint="default" w:eastAsiaTheme="minorEastAsia"/>
                <w:lang w:val="en-US" w:eastAsia="zh-CN"/>
              </w:rPr>
            </w:pPr>
            <w:r>
              <w:rPr>
                <w:rFonts w:hint="eastAsia"/>
                <w:color w:val="000000"/>
                <w:sz w:val="22"/>
                <w:lang w:val="en-US" w:eastAsia="zh-CN"/>
              </w:rPr>
              <w:t>装备缺失或损坏，每次视情况扣1-5分</w:t>
            </w:r>
          </w:p>
        </w:tc>
        <w:tc>
          <w:tcPr>
            <w:tcW w:w="1105" w:type="dxa"/>
            <w:tcMar>
              <w:top w:w="0" w:type="dxa"/>
              <w:left w:w="60" w:type="dxa"/>
              <w:bottom w:w="0" w:type="dxa"/>
              <w:right w:w="60" w:type="dxa"/>
            </w:tcMar>
            <w:vAlign w:val="center"/>
          </w:tcPr>
          <w:p w14:paraId="30DF8AF0">
            <w:pPr>
              <w:pStyle w:val="22"/>
              <w:jc w:val="both"/>
              <w:rPr>
                <w:rFonts w:hint="default"/>
              </w:rPr>
            </w:pPr>
          </w:p>
        </w:tc>
        <w:tc>
          <w:tcPr>
            <w:tcW w:w="851" w:type="dxa"/>
            <w:tcMar>
              <w:top w:w="0" w:type="dxa"/>
              <w:left w:w="60" w:type="dxa"/>
              <w:bottom w:w="0" w:type="dxa"/>
              <w:right w:w="60" w:type="dxa"/>
            </w:tcMar>
            <w:vAlign w:val="center"/>
          </w:tcPr>
          <w:p w14:paraId="60DE65CA"/>
        </w:tc>
        <w:tc>
          <w:tcPr>
            <w:tcW w:w="1134" w:type="dxa"/>
            <w:tcMar>
              <w:top w:w="0" w:type="dxa"/>
              <w:left w:w="60" w:type="dxa"/>
              <w:bottom w:w="0" w:type="dxa"/>
              <w:right w:w="60" w:type="dxa"/>
            </w:tcMar>
            <w:vAlign w:val="center"/>
          </w:tcPr>
          <w:p w14:paraId="1FF974B4"/>
        </w:tc>
      </w:tr>
      <w:tr w14:paraId="7EBD3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restart"/>
            <w:tcMar>
              <w:top w:w="0" w:type="dxa"/>
              <w:left w:w="60" w:type="dxa"/>
              <w:bottom w:w="0" w:type="dxa"/>
              <w:right w:w="60" w:type="dxa"/>
            </w:tcMar>
            <w:vAlign w:val="center"/>
          </w:tcPr>
          <w:p w14:paraId="11149BD4">
            <w:pPr>
              <w:pStyle w:val="22"/>
              <w:jc w:val="center"/>
              <w:rPr>
                <w:rFonts w:hint="default"/>
              </w:rPr>
            </w:pPr>
            <w:r>
              <w:rPr>
                <w:color w:val="000000"/>
                <w:sz w:val="22"/>
              </w:rPr>
              <w:t>加分</w:t>
            </w:r>
          </w:p>
        </w:tc>
        <w:tc>
          <w:tcPr>
            <w:tcW w:w="3626" w:type="dxa"/>
            <w:tcMar>
              <w:top w:w="0" w:type="dxa"/>
              <w:left w:w="60" w:type="dxa"/>
              <w:bottom w:w="0" w:type="dxa"/>
              <w:right w:w="60" w:type="dxa"/>
            </w:tcMar>
            <w:vAlign w:val="center"/>
          </w:tcPr>
          <w:p w14:paraId="13E06873">
            <w:pPr>
              <w:pStyle w:val="22"/>
              <w:jc w:val="both"/>
              <w:rPr>
                <w:rFonts w:hint="default"/>
              </w:rPr>
            </w:pPr>
            <w:r>
              <w:rPr>
                <w:color w:val="000000"/>
                <w:sz w:val="22"/>
              </w:rPr>
              <w:t>因及时发现隐患并处置得当，避免甲方</w:t>
            </w:r>
            <w:r>
              <w:rPr>
                <w:rFonts w:hint="eastAsia"/>
                <w:color w:val="000000"/>
                <w:sz w:val="22"/>
                <w:lang w:val="en-US" w:eastAsia="zh-CN"/>
              </w:rPr>
              <w:t>场地发生重大伤亡事故，或</w:t>
            </w:r>
            <w:r>
              <w:rPr>
                <w:color w:val="000000"/>
                <w:sz w:val="22"/>
              </w:rPr>
              <w:t>造成</w:t>
            </w:r>
            <w:r>
              <w:rPr>
                <w:rFonts w:hint="eastAsia"/>
                <w:color w:val="000000"/>
                <w:sz w:val="22"/>
                <w:lang w:val="en-US" w:eastAsia="zh-CN"/>
              </w:rPr>
              <w:t>重大财产</w:t>
            </w:r>
            <w:r>
              <w:rPr>
                <w:color w:val="000000"/>
                <w:sz w:val="22"/>
              </w:rPr>
              <w:t>损失</w:t>
            </w:r>
            <w:r>
              <w:rPr>
                <w:rFonts w:hint="eastAsia"/>
                <w:color w:val="000000"/>
                <w:sz w:val="22"/>
                <w:lang w:val="en-US" w:eastAsia="zh-CN"/>
              </w:rPr>
              <w:t>的</w:t>
            </w:r>
          </w:p>
        </w:tc>
        <w:tc>
          <w:tcPr>
            <w:tcW w:w="1364" w:type="dxa"/>
            <w:vMerge w:val="restart"/>
            <w:tcMar>
              <w:top w:w="0" w:type="dxa"/>
              <w:left w:w="60" w:type="dxa"/>
              <w:bottom w:w="0" w:type="dxa"/>
              <w:right w:w="60" w:type="dxa"/>
            </w:tcMar>
            <w:vAlign w:val="center"/>
          </w:tcPr>
          <w:p w14:paraId="2F805000">
            <w:pPr>
              <w:pStyle w:val="22"/>
              <w:jc w:val="both"/>
              <w:rPr>
                <w:rFonts w:hint="default" w:eastAsiaTheme="minorEastAsia"/>
                <w:lang w:val="en-US" w:eastAsia="zh-CN"/>
              </w:rPr>
            </w:pPr>
            <w:r>
              <w:rPr>
                <w:rFonts w:hint="eastAsia"/>
                <w:color w:val="000000"/>
                <w:sz w:val="22"/>
                <w:lang w:val="en-US" w:eastAsia="zh-CN"/>
              </w:rPr>
              <w:t>视情况加1-5分</w:t>
            </w:r>
          </w:p>
        </w:tc>
        <w:tc>
          <w:tcPr>
            <w:tcW w:w="1105" w:type="dxa"/>
            <w:tcMar>
              <w:top w:w="0" w:type="dxa"/>
              <w:left w:w="60" w:type="dxa"/>
              <w:bottom w:w="0" w:type="dxa"/>
              <w:right w:w="60" w:type="dxa"/>
            </w:tcMar>
            <w:vAlign w:val="center"/>
          </w:tcPr>
          <w:p w14:paraId="7844DA06">
            <w:pPr>
              <w:pStyle w:val="22"/>
              <w:jc w:val="both"/>
              <w:rPr>
                <w:rFonts w:hint="default"/>
              </w:rPr>
            </w:pPr>
          </w:p>
        </w:tc>
        <w:tc>
          <w:tcPr>
            <w:tcW w:w="851" w:type="dxa"/>
            <w:tcMar>
              <w:top w:w="0" w:type="dxa"/>
              <w:left w:w="60" w:type="dxa"/>
              <w:bottom w:w="0" w:type="dxa"/>
              <w:right w:w="60" w:type="dxa"/>
            </w:tcMar>
            <w:vAlign w:val="center"/>
          </w:tcPr>
          <w:p w14:paraId="3687249D"/>
        </w:tc>
        <w:tc>
          <w:tcPr>
            <w:tcW w:w="1134" w:type="dxa"/>
            <w:tcMar>
              <w:top w:w="0" w:type="dxa"/>
              <w:left w:w="60" w:type="dxa"/>
              <w:bottom w:w="0" w:type="dxa"/>
              <w:right w:w="60" w:type="dxa"/>
            </w:tcMar>
            <w:vAlign w:val="center"/>
          </w:tcPr>
          <w:p w14:paraId="10D0AEC6"/>
        </w:tc>
      </w:tr>
      <w:tr w14:paraId="3C2EE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09AF8E00">
            <w:pPr>
              <w:jc w:val="center"/>
            </w:pPr>
          </w:p>
        </w:tc>
        <w:tc>
          <w:tcPr>
            <w:tcW w:w="3626" w:type="dxa"/>
            <w:tcMar>
              <w:top w:w="0" w:type="dxa"/>
              <w:left w:w="60" w:type="dxa"/>
              <w:bottom w:w="0" w:type="dxa"/>
              <w:right w:w="60" w:type="dxa"/>
            </w:tcMar>
            <w:vAlign w:val="center"/>
          </w:tcPr>
          <w:p w14:paraId="6CCA1CD4">
            <w:pPr>
              <w:pStyle w:val="22"/>
              <w:jc w:val="both"/>
              <w:rPr>
                <w:rFonts w:hint="default"/>
              </w:rPr>
            </w:pPr>
            <w:r>
              <w:rPr>
                <w:color w:val="000000"/>
                <w:sz w:val="22"/>
              </w:rPr>
              <w:t>在工作中抓获犯罪违法分子，经公安机关确认的。</w:t>
            </w:r>
          </w:p>
        </w:tc>
        <w:tc>
          <w:tcPr>
            <w:tcW w:w="1364" w:type="dxa"/>
            <w:vMerge w:val="continue"/>
            <w:tcMar>
              <w:top w:w="0" w:type="dxa"/>
              <w:left w:w="60" w:type="dxa"/>
              <w:bottom w:w="0" w:type="dxa"/>
              <w:right w:w="60" w:type="dxa"/>
            </w:tcMar>
            <w:vAlign w:val="center"/>
          </w:tcPr>
          <w:p w14:paraId="37ABAFB7">
            <w:pPr>
              <w:pStyle w:val="22"/>
              <w:jc w:val="both"/>
              <w:rPr>
                <w:rFonts w:hint="default"/>
              </w:rPr>
            </w:pPr>
          </w:p>
        </w:tc>
        <w:tc>
          <w:tcPr>
            <w:tcW w:w="1105" w:type="dxa"/>
            <w:tcMar>
              <w:top w:w="0" w:type="dxa"/>
              <w:left w:w="60" w:type="dxa"/>
              <w:bottom w:w="0" w:type="dxa"/>
              <w:right w:w="60" w:type="dxa"/>
            </w:tcMar>
            <w:vAlign w:val="center"/>
          </w:tcPr>
          <w:p w14:paraId="0BEED509">
            <w:pPr>
              <w:pStyle w:val="22"/>
              <w:jc w:val="both"/>
              <w:rPr>
                <w:rFonts w:hint="default"/>
              </w:rPr>
            </w:pPr>
          </w:p>
        </w:tc>
        <w:tc>
          <w:tcPr>
            <w:tcW w:w="851" w:type="dxa"/>
            <w:tcMar>
              <w:top w:w="0" w:type="dxa"/>
              <w:left w:w="60" w:type="dxa"/>
              <w:bottom w:w="0" w:type="dxa"/>
              <w:right w:w="60" w:type="dxa"/>
            </w:tcMar>
            <w:vAlign w:val="center"/>
          </w:tcPr>
          <w:p w14:paraId="0DEB3DBC"/>
        </w:tc>
        <w:tc>
          <w:tcPr>
            <w:tcW w:w="1134" w:type="dxa"/>
            <w:tcMar>
              <w:top w:w="0" w:type="dxa"/>
              <w:left w:w="60" w:type="dxa"/>
              <w:bottom w:w="0" w:type="dxa"/>
              <w:right w:w="60" w:type="dxa"/>
            </w:tcMar>
            <w:vAlign w:val="center"/>
          </w:tcPr>
          <w:p w14:paraId="764EA774"/>
        </w:tc>
      </w:tr>
      <w:tr w14:paraId="17B9A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39FD6F5A">
            <w:pPr>
              <w:jc w:val="center"/>
            </w:pPr>
          </w:p>
        </w:tc>
        <w:tc>
          <w:tcPr>
            <w:tcW w:w="3626" w:type="dxa"/>
            <w:tcMar>
              <w:top w:w="0" w:type="dxa"/>
              <w:left w:w="60" w:type="dxa"/>
              <w:bottom w:w="0" w:type="dxa"/>
              <w:right w:w="60" w:type="dxa"/>
            </w:tcMar>
            <w:vAlign w:val="center"/>
          </w:tcPr>
          <w:p w14:paraId="4D5CC17F">
            <w:pPr>
              <w:pStyle w:val="22"/>
              <w:jc w:val="both"/>
              <w:rPr>
                <w:rFonts w:hint="eastAsia" w:eastAsiaTheme="minorEastAsia"/>
                <w:lang w:eastAsia="zh-CN"/>
              </w:rPr>
            </w:pPr>
            <w:r>
              <w:rPr>
                <w:rFonts w:hint="default"/>
                <w:color w:val="000000"/>
                <w:sz w:val="22"/>
                <w:lang w:val="en-US" w:eastAsia="zh-CN"/>
              </w:rPr>
              <w:t>高标准、高质量、高效率</w:t>
            </w:r>
            <w:r>
              <w:rPr>
                <w:rFonts w:hint="default"/>
                <w:color w:val="000000"/>
                <w:sz w:val="22"/>
              </w:rPr>
              <w:t>完成交办的任务</w:t>
            </w:r>
            <w:r>
              <w:rPr>
                <w:rFonts w:hint="default"/>
                <w:color w:val="000000"/>
                <w:sz w:val="22"/>
                <w:lang w:val="en-US" w:eastAsia="zh-CN"/>
              </w:rPr>
              <w:t>，</w:t>
            </w:r>
            <w:r>
              <w:rPr>
                <w:rFonts w:hint="default"/>
                <w:color w:val="000000"/>
                <w:sz w:val="22"/>
              </w:rPr>
              <w:t>经甲方确认的</w:t>
            </w:r>
            <w:r>
              <w:rPr>
                <w:rFonts w:hint="eastAsia"/>
                <w:color w:val="000000"/>
                <w:sz w:val="22"/>
                <w:lang w:eastAsia="zh-CN"/>
              </w:rPr>
              <w:t>。</w:t>
            </w:r>
          </w:p>
        </w:tc>
        <w:tc>
          <w:tcPr>
            <w:tcW w:w="1364" w:type="dxa"/>
            <w:vMerge w:val="continue"/>
            <w:tcMar>
              <w:top w:w="0" w:type="dxa"/>
              <w:left w:w="60" w:type="dxa"/>
              <w:bottom w:w="0" w:type="dxa"/>
              <w:right w:w="60" w:type="dxa"/>
            </w:tcMar>
            <w:vAlign w:val="center"/>
          </w:tcPr>
          <w:p w14:paraId="584F546E">
            <w:pPr>
              <w:pStyle w:val="22"/>
              <w:jc w:val="both"/>
              <w:rPr>
                <w:rFonts w:hint="default"/>
              </w:rPr>
            </w:pPr>
          </w:p>
        </w:tc>
        <w:tc>
          <w:tcPr>
            <w:tcW w:w="1105" w:type="dxa"/>
            <w:tcMar>
              <w:top w:w="0" w:type="dxa"/>
              <w:left w:w="60" w:type="dxa"/>
              <w:bottom w:w="0" w:type="dxa"/>
              <w:right w:w="60" w:type="dxa"/>
            </w:tcMar>
            <w:vAlign w:val="center"/>
          </w:tcPr>
          <w:p w14:paraId="6A917EC1">
            <w:pPr>
              <w:pStyle w:val="22"/>
              <w:jc w:val="both"/>
              <w:rPr>
                <w:rFonts w:hint="default"/>
              </w:rPr>
            </w:pPr>
          </w:p>
        </w:tc>
        <w:tc>
          <w:tcPr>
            <w:tcW w:w="851" w:type="dxa"/>
            <w:tcMar>
              <w:top w:w="0" w:type="dxa"/>
              <w:left w:w="60" w:type="dxa"/>
              <w:bottom w:w="0" w:type="dxa"/>
              <w:right w:w="60" w:type="dxa"/>
            </w:tcMar>
            <w:vAlign w:val="center"/>
          </w:tcPr>
          <w:p w14:paraId="171A5C23"/>
        </w:tc>
        <w:tc>
          <w:tcPr>
            <w:tcW w:w="1134" w:type="dxa"/>
            <w:tcMar>
              <w:top w:w="0" w:type="dxa"/>
              <w:left w:w="60" w:type="dxa"/>
              <w:bottom w:w="0" w:type="dxa"/>
              <w:right w:w="60" w:type="dxa"/>
            </w:tcMar>
            <w:vAlign w:val="center"/>
          </w:tcPr>
          <w:p w14:paraId="62B1E9D9"/>
        </w:tc>
      </w:tr>
      <w:tr w14:paraId="3E7C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5" w:type="dxa"/>
            <w:vMerge w:val="continue"/>
            <w:vAlign w:val="center"/>
          </w:tcPr>
          <w:p w14:paraId="003E1F90">
            <w:pPr>
              <w:jc w:val="center"/>
            </w:pPr>
          </w:p>
        </w:tc>
        <w:tc>
          <w:tcPr>
            <w:tcW w:w="3626" w:type="dxa"/>
            <w:tcMar>
              <w:top w:w="0" w:type="dxa"/>
              <w:left w:w="60" w:type="dxa"/>
              <w:bottom w:w="0" w:type="dxa"/>
              <w:right w:w="60" w:type="dxa"/>
            </w:tcMar>
            <w:vAlign w:val="center"/>
          </w:tcPr>
          <w:p w14:paraId="1444C00C">
            <w:pPr>
              <w:pStyle w:val="22"/>
              <w:jc w:val="both"/>
              <w:rPr>
                <w:rFonts w:hint="default"/>
              </w:rPr>
            </w:pPr>
            <w:r>
              <w:rPr>
                <w:sz w:val="22"/>
              </w:rPr>
              <w:t>其他事迹受到甲方或上级有关部门表扬的。</w:t>
            </w:r>
          </w:p>
        </w:tc>
        <w:tc>
          <w:tcPr>
            <w:tcW w:w="1364" w:type="dxa"/>
            <w:vMerge w:val="continue"/>
            <w:tcMar>
              <w:top w:w="0" w:type="dxa"/>
              <w:left w:w="60" w:type="dxa"/>
              <w:bottom w:w="0" w:type="dxa"/>
              <w:right w:w="60" w:type="dxa"/>
            </w:tcMar>
            <w:vAlign w:val="center"/>
          </w:tcPr>
          <w:p w14:paraId="75DE67E9">
            <w:pPr>
              <w:pStyle w:val="22"/>
              <w:jc w:val="both"/>
              <w:rPr>
                <w:rFonts w:hint="default"/>
              </w:rPr>
            </w:pPr>
          </w:p>
        </w:tc>
        <w:tc>
          <w:tcPr>
            <w:tcW w:w="1105" w:type="dxa"/>
            <w:tcMar>
              <w:top w:w="0" w:type="dxa"/>
              <w:left w:w="60" w:type="dxa"/>
              <w:bottom w:w="0" w:type="dxa"/>
              <w:right w:w="60" w:type="dxa"/>
            </w:tcMar>
            <w:vAlign w:val="center"/>
          </w:tcPr>
          <w:p w14:paraId="20AB2A2B">
            <w:pPr>
              <w:pStyle w:val="22"/>
              <w:jc w:val="both"/>
              <w:rPr>
                <w:rFonts w:hint="default"/>
              </w:rPr>
            </w:pPr>
          </w:p>
        </w:tc>
        <w:tc>
          <w:tcPr>
            <w:tcW w:w="851" w:type="dxa"/>
            <w:tcMar>
              <w:top w:w="0" w:type="dxa"/>
              <w:left w:w="60" w:type="dxa"/>
              <w:bottom w:w="0" w:type="dxa"/>
              <w:right w:w="60" w:type="dxa"/>
            </w:tcMar>
            <w:vAlign w:val="center"/>
          </w:tcPr>
          <w:p w14:paraId="39EC697C"/>
        </w:tc>
        <w:tc>
          <w:tcPr>
            <w:tcW w:w="1134" w:type="dxa"/>
            <w:tcMar>
              <w:top w:w="0" w:type="dxa"/>
              <w:left w:w="60" w:type="dxa"/>
              <w:bottom w:w="0" w:type="dxa"/>
              <w:right w:w="60" w:type="dxa"/>
            </w:tcMar>
            <w:vAlign w:val="center"/>
          </w:tcPr>
          <w:p w14:paraId="2FECD0DA"/>
        </w:tc>
      </w:tr>
      <w:tr w14:paraId="71D01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1135" w:type="dxa"/>
            <w:tcMar>
              <w:top w:w="0" w:type="dxa"/>
              <w:left w:w="60" w:type="dxa"/>
              <w:bottom w:w="0" w:type="dxa"/>
              <w:right w:w="60" w:type="dxa"/>
            </w:tcMar>
            <w:vAlign w:val="center"/>
          </w:tcPr>
          <w:p w14:paraId="7A5CF6DB">
            <w:pPr>
              <w:pStyle w:val="22"/>
              <w:jc w:val="center"/>
              <w:rPr>
                <w:rFonts w:hint="default"/>
              </w:rPr>
            </w:pPr>
            <w:r>
              <w:rPr>
                <w:rFonts w:hint="eastAsia"/>
                <w:color w:val="000000"/>
                <w:sz w:val="22"/>
                <w:lang w:val="en-US" w:eastAsia="zh-CN"/>
              </w:rPr>
              <w:t>本次</w:t>
            </w:r>
            <w:r>
              <w:rPr>
                <w:color w:val="000000"/>
                <w:sz w:val="22"/>
              </w:rPr>
              <w:t>得分</w:t>
            </w:r>
          </w:p>
        </w:tc>
        <w:tc>
          <w:tcPr>
            <w:tcW w:w="8080" w:type="dxa"/>
            <w:gridSpan w:val="5"/>
            <w:tcMar>
              <w:top w:w="0" w:type="dxa"/>
              <w:left w:w="60" w:type="dxa"/>
              <w:bottom w:w="0" w:type="dxa"/>
              <w:right w:w="60" w:type="dxa"/>
            </w:tcMar>
            <w:vAlign w:val="center"/>
          </w:tcPr>
          <w:p w14:paraId="42583FB8">
            <w:pPr>
              <w:pStyle w:val="22"/>
              <w:jc w:val="center"/>
              <w:rPr>
                <w:rFonts w:hint="default"/>
              </w:rPr>
            </w:pPr>
          </w:p>
        </w:tc>
      </w:tr>
      <w:tr w14:paraId="12C85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9215" w:type="dxa"/>
            <w:gridSpan w:val="6"/>
            <w:tcMar>
              <w:top w:w="0" w:type="dxa"/>
              <w:left w:w="60" w:type="dxa"/>
              <w:bottom w:w="0" w:type="dxa"/>
              <w:right w:w="60" w:type="dxa"/>
            </w:tcMar>
            <w:vAlign w:val="center"/>
          </w:tcPr>
          <w:p w14:paraId="2F4A86CF">
            <w:pPr>
              <w:pStyle w:val="22"/>
              <w:jc w:val="both"/>
              <w:rPr>
                <w:rFonts w:hint="default"/>
              </w:rPr>
            </w:pPr>
            <w:r>
              <w:rPr>
                <w:sz w:val="22"/>
              </w:rPr>
              <w:t>双方检查人（签名）：</w:t>
            </w:r>
          </w:p>
          <w:p w14:paraId="38FC6DBE">
            <w:pPr>
              <w:pStyle w:val="22"/>
              <w:jc w:val="both"/>
              <w:rPr>
                <w:rFonts w:hint="default"/>
              </w:rPr>
            </w:pPr>
          </w:p>
          <w:p w14:paraId="755054C3">
            <w:pPr>
              <w:pStyle w:val="22"/>
              <w:jc w:val="both"/>
              <w:rPr>
                <w:rFonts w:hint="default"/>
              </w:rPr>
            </w:pPr>
            <w:r>
              <w:rPr>
                <w:sz w:val="22"/>
              </w:rPr>
              <w:t>检查日期：</w:t>
            </w:r>
          </w:p>
        </w:tc>
      </w:tr>
    </w:tbl>
    <w:p w14:paraId="0D019BFF">
      <w:pPr>
        <w:pStyle w:val="22"/>
        <w:rPr>
          <w:rFonts w:hint="default"/>
        </w:rPr>
      </w:pPr>
      <w:r>
        <w:rPr>
          <w:sz w:val="22"/>
        </w:rPr>
        <w:t>说明：1.日常检查分定期检查和随机检查两种方式，每月检查次数不少于4次。</w:t>
      </w:r>
    </w:p>
    <w:p w14:paraId="431891B1">
      <w:pPr>
        <w:pStyle w:val="22"/>
        <w:ind w:firstLine="660"/>
        <w:rPr>
          <w:rFonts w:hint="default"/>
        </w:rPr>
      </w:pPr>
      <w:r>
        <w:rPr>
          <w:sz w:val="22"/>
        </w:rPr>
        <w:t>2.评分表综合得分按比例换算到月度评分表。</w:t>
      </w:r>
    </w:p>
    <w:p w14:paraId="130B213D">
      <w:pPr>
        <w:pStyle w:val="22"/>
        <w:ind w:firstLine="420"/>
        <w:jc w:val="both"/>
        <w:rPr>
          <w:rFonts w:hint="default"/>
        </w:rPr>
      </w:pPr>
      <w:r>
        <w:t xml:space="preserve"> </w:t>
      </w:r>
    </w:p>
    <w:p w14:paraId="118BA516">
      <w:pPr>
        <w:widowControl/>
        <w:jc w:val="left"/>
        <w:rPr>
          <w:color w:val="000000"/>
          <w:kern w:val="0"/>
          <w:szCs w:val="20"/>
          <w:lang w:eastAsia="zh-Hans"/>
        </w:rPr>
      </w:pPr>
      <w:r>
        <w:rPr>
          <w:color w:val="000000"/>
        </w:rPr>
        <w:br w:type="page"/>
      </w:r>
    </w:p>
    <w:p w14:paraId="49FB2CE5">
      <w:pPr>
        <w:pStyle w:val="22"/>
        <w:ind w:firstLine="420"/>
        <w:jc w:val="both"/>
        <w:rPr>
          <w:rFonts w:hint="default"/>
        </w:rPr>
      </w:pPr>
      <w:r>
        <w:rPr>
          <w:color w:val="000000"/>
          <w:sz w:val="21"/>
        </w:rPr>
        <w:t>附件2</w:t>
      </w:r>
    </w:p>
    <w:p w14:paraId="5CB34DFE">
      <w:pPr>
        <w:pStyle w:val="22"/>
        <w:jc w:val="center"/>
        <w:rPr>
          <w:rFonts w:hint="default"/>
        </w:rPr>
      </w:pPr>
      <w:r>
        <w:rPr>
          <w:b/>
          <w:sz w:val="32"/>
        </w:rPr>
        <w:t>广东省奥林匹克体育中心安保服务项目（月度）评分表</w:t>
      </w:r>
    </w:p>
    <w:p w14:paraId="6AA1E339">
      <w:pPr>
        <w:pStyle w:val="22"/>
        <w:jc w:val="both"/>
        <w:rPr>
          <w:sz w:val="22"/>
        </w:rPr>
      </w:pPr>
    </w:p>
    <w:p w14:paraId="302675A5">
      <w:pPr>
        <w:pStyle w:val="22"/>
        <w:keepNext w:val="0"/>
        <w:keepLines w:val="0"/>
        <w:pageBreakBefore w:val="0"/>
        <w:widowControl/>
        <w:kinsoku/>
        <w:wordWrap/>
        <w:overflowPunct/>
        <w:topLinePunct w:val="0"/>
        <w:autoSpaceDE/>
        <w:autoSpaceDN/>
        <w:bidi w:val="0"/>
        <w:adjustRightInd/>
        <w:snapToGrid/>
        <w:spacing w:after="157" w:afterLines="50"/>
        <w:jc w:val="both"/>
        <w:textAlignment w:val="auto"/>
        <w:rPr>
          <w:rFonts w:ascii="宋体" w:hAnsi="宋体" w:eastAsia="宋体" w:cs="宋体"/>
          <w:sz w:val="24"/>
          <w:szCs w:val="24"/>
        </w:rPr>
      </w:pPr>
      <w:r>
        <w:rPr>
          <w:rFonts w:ascii="宋体" w:hAnsi="宋体" w:eastAsia="宋体" w:cs="宋体"/>
          <w:sz w:val="24"/>
          <w:szCs w:val="24"/>
        </w:rPr>
        <w:t>被考评单位：____________________</w:t>
      </w:r>
    </w:p>
    <w:p w14:paraId="128496DB">
      <w:pPr>
        <w:pStyle w:val="22"/>
        <w:keepNext w:val="0"/>
        <w:keepLines w:val="0"/>
        <w:pageBreakBefore w:val="0"/>
        <w:widowControl/>
        <w:kinsoku/>
        <w:wordWrap/>
        <w:overflowPunct/>
        <w:topLinePunct w:val="0"/>
        <w:autoSpaceDE/>
        <w:autoSpaceDN/>
        <w:bidi w:val="0"/>
        <w:adjustRightInd/>
        <w:snapToGrid/>
        <w:spacing w:after="157" w:afterLines="50"/>
        <w:jc w:val="both"/>
        <w:textAlignment w:val="auto"/>
        <w:rPr>
          <w:rFonts w:hint="default" w:ascii="宋体" w:hAnsi="宋体" w:eastAsia="宋体" w:cs="宋体"/>
          <w:sz w:val="24"/>
          <w:szCs w:val="24"/>
        </w:rPr>
      </w:pPr>
      <w:r>
        <w:rPr>
          <w:rFonts w:ascii="宋体" w:hAnsi="宋体" w:eastAsia="宋体" w:cs="宋体"/>
          <w:sz w:val="24"/>
          <w:szCs w:val="24"/>
        </w:rPr>
        <w:t>考核期次：____</w:t>
      </w:r>
      <w:r>
        <w:rPr>
          <w:rFonts w:hint="eastAsia" w:ascii="宋体" w:hAnsi="宋体" w:eastAsia="宋体" w:cs="宋体"/>
          <w:sz w:val="24"/>
          <w:szCs w:val="24"/>
          <w:lang w:val="en-US" w:eastAsia="zh-CN"/>
        </w:rPr>
        <w:t>年</w:t>
      </w:r>
      <w:r>
        <w:rPr>
          <w:rFonts w:ascii="宋体" w:hAnsi="宋体" w:eastAsia="宋体" w:cs="宋体"/>
          <w:sz w:val="24"/>
          <w:szCs w:val="24"/>
        </w:rPr>
        <w:t>____</w:t>
      </w:r>
      <w:r>
        <w:rPr>
          <w:rFonts w:hint="eastAsia" w:ascii="宋体" w:hAnsi="宋体" w:eastAsia="宋体" w:cs="宋体"/>
          <w:sz w:val="24"/>
          <w:szCs w:val="24"/>
          <w:lang w:val="en-US" w:eastAsia="zh-CN"/>
        </w:rPr>
        <w:t>月，</w:t>
      </w:r>
      <w:r>
        <w:rPr>
          <w:rFonts w:ascii="宋体" w:hAnsi="宋体" w:eastAsia="宋体" w:cs="宋体"/>
          <w:sz w:val="24"/>
          <w:szCs w:val="24"/>
        </w:rPr>
        <w:t>第____期（共24期）</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55"/>
        <w:gridCol w:w="1117"/>
        <w:gridCol w:w="1118"/>
        <w:gridCol w:w="1117"/>
        <w:gridCol w:w="1118"/>
        <w:gridCol w:w="1117"/>
        <w:gridCol w:w="1118"/>
      </w:tblGrid>
      <w:tr w14:paraId="2F7838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15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A5D9AB6">
            <w:pPr>
              <w:pStyle w:val="22"/>
              <w:jc w:val="center"/>
              <w:rPr>
                <w:rFonts w:hint="default"/>
              </w:rPr>
            </w:pPr>
            <w:r>
              <w:rPr>
                <w:sz w:val="24"/>
              </w:rPr>
              <w:t>考核频次</w:t>
            </w:r>
          </w:p>
        </w:tc>
        <w:tc>
          <w:tcPr>
            <w:tcW w:w="11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FFBA1E2">
            <w:pPr>
              <w:pStyle w:val="22"/>
              <w:jc w:val="center"/>
              <w:rPr>
                <w:rFonts w:hint="default"/>
              </w:rPr>
            </w:pPr>
            <w:r>
              <w:rPr>
                <w:sz w:val="24"/>
              </w:rPr>
              <w:t>1</w:t>
            </w:r>
          </w:p>
        </w:tc>
        <w:tc>
          <w:tcPr>
            <w:tcW w:w="11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479ED85">
            <w:pPr>
              <w:pStyle w:val="22"/>
              <w:jc w:val="center"/>
              <w:rPr>
                <w:rFonts w:hint="default"/>
              </w:rPr>
            </w:pPr>
            <w:r>
              <w:rPr>
                <w:sz w:val="24"/>
              </w:rPr>
              <w:t>2</w:t>
            </w:r>
          </w:p>
        </w:tc>
        <w:tc>
          <w:tcPr>
            <w:tcW w:w="11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CBEEEFB">
            <w:pPr>
              <w:pStyle w:val="22"/>
              <w:jc w:val="center"/>
              <w:rPr>
                <w:rFonts w:hint="default"/>
              </w:rPr>
            </w:pPr>
            <w:r>
              <w:rPr>
                <w:sz w:val="24"/>
              </w:rPr>
              <w:t>3</w:t>
            </w:r>
          </w:p>
        </w:tc>
        <w:tc>
          <w:tcPr>
            <w:tcW w:w="11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219008F">
            <w:pPr>
              <w:pStyle w:val="22"/>
              <w:jc w:val="center"/>
              <w:rPr>
                <w:rFonts w:hint="default"/>
              </w:rPr>
            </w:pPr>
            <w:r>
              <w:rPr>
                <w:sz w:val="24"/>
              </w:rPr>
              <w:t>4</w:t>
            </w:r>
          </w:p>
        </w:tc>
        <w:tc>
          <w:tcPr>
            <w:tcW w:w="11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0AFEED6">
            <w:pPr>
              <w:pStyle w:val="22"/>
              <w:jc w:val="center"/>
              <w:rPr>
                <w:rFonts w:hint="default"/>
              </w:rPr>
            </w:pPr>
            <w:r>
              <w:rPr>
                <w:sz w:val="24"/>
              </w:rPr>
              <w:t>5</w:t>
            </w:r>
          </w:p>
        </w:tc>
        <w:tc>
          <w:tcPr>
            <w:tcW w:w="11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D177310">
            <w:pPr>
              <w:pStyle w:val="22"/>
              <w:jc w:val="center"/>
              <w:rPr>
                <w:rFonts w:hint="default"/>
              </w:rPr>
            </w:pPr>
            <w:r>
              <w:rPr>
                <w:sz w:val="24"/>
              </w:rPr>
              <w:t>6</w:t>
            </w:r>
          </w:p>
        </w:tc>
      </w:tr>
      <w:tr w14:paraId="386F3A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15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AAAB40">
            <w:pPr>
              <w:pStyle w:val="22"/>
              <w:jc w:val="center"/>
              <w:rPr>
                <w:rFonts w:hint="default"/>
              </w:rPr>
            </w:pPr>
            <w:r>
              <w:rPr>
                <w:rFonts w:hint="eastAsia"/>
                <w:sz w:val="24"/>
                <w:lang w:val="en-US" w:eastAsia="zh-CN"/>
              </w:rPr>
              <w:t>每次</w:t>
            </w:r>
            <w:r>
              <w:rPr>
                <w:sz w:val="24"/>
              </w:rPr>
              <w:t>得分</w:t>
            </w:r>
          </w:p>
        </w:tc>
        <w:tc>
          <w:tcPr>
            <w:tcW w:w="1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E1B108">
            <w:pPr>
              <w:pStyle w:val="22"/>
              <w:jc w:val="center"/>
              <w:rPr>
                <w:rFonts w:hint="default"/>
              </w:rPr>
            </w:pPr>
          </w:p>
        </w:tc>
        <w:tc>
          <w:tcPr>
            <w:tcW w:w="11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0CAF2B">
            <w:pPr>
              <w:jc w:val="center"/>
            </w:pPr>
          </w:p>
        </w:tc>
        <w:tc>
          <w:tcPr>
            <w:tcW w:w="1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6C4682">
            <w:pPr>
              <w:jc w:val="center"/>
            </w:pPr>
          </w:p>
        </w:tc>
        <w:tc>
          <w:tcPr>
            <w:tcW w:w="11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E365DE">
            <w:pPr>
              <w:jc w:val="center"/>
            </w:pPr>
          </w:p>
        </w:tc>
        <w:tc>
          <w:tcPr>
            <w:tcW w:w="1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65CB50">
            <w:pPr>
              <w:jc w:val="center"/>
            </w:pPr>
          </w:p>
        </w:tc>
        <w:tc>
          <w:tcPr>
            <w:tcW w:w="11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746418">
            <w:pPr>
              <w:jc w:val="center"/>
            </w:pPr>
          </w:p>
        </w:tc>
      </w:tr>
      <w:tr w14:paraId="583803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15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FAF687">
            <w:pPr>
              <w:pStyle w:val="22"/>
              <w:jc w:val="center"/>
              <w:rPr>
                <w:rFonts w:hint="default"/>
              </w:rPr>
            </w:pPr>
            <w:r>
              <w:rPr>
                <w:rFonts w:hint="eastAsia"/>
                <w:sz w:val="24"/>
                <w:lang w:val="en-US" w:eastAsia="zh-CN"/>
              </w:rPr>
              <w:t>综合</w:t>
            </w:r>
            <w:r>
              <w:rPr>
                <w:sz w:val="24"/>
              </w:rPr>
              <w:t>得分</w:t>
            </w:r>
          </w:p>
          <w:p w14:paraId="2FCD346B">
            <w:pPr>
              <w:pStyle w:val="22"/>
              <w:jc w:val="center"/>
              <w:rPr>
                <w:rFonts w:hint="default"/>
              </w:rPr>
            </w:pPr>
            <w:r>
              <w:rPr>
                <w:sz w:val="24"/>
              </w:rPr>
              <w:t>（平均分）</w:t>
            </w:r>
          </w:p>
        </w:tc>
        <w:tc>
          <w:tcPr>
            <w:tcW w:w="67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1C394E">
            <w:pPr>
              <w:pStyle w:val="22"/>
              <w:jc w:val="center"/>
              <w:rPr>
                <w:rFonts w:hint="default"/>
              </w:rPr>
            </w:pPr>
          </w:p>
        </w:tc>
      </w:tr>
      <w:tr w14:paraId="0E265B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08" w:hRule="atLeast"/>
        </w:trPr>
        <w:tc>
          <w:tcPr>
            <w:tcW w:w="8260" w:type="dxa"/>
            <w:gridSpan w:val="7"/>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339618">
            <w:pPr>
              <w:pStyle w:val="22"/>
              <w:jc w:val="both"/>
              <w:rPr>
                <w:rFonts w:hint="default"/>
              </w:rPr>
            </w:pPr>
            <w:r>
              <w:rPr>
                <w:sz w:val="24"/>
              </w:rPr>
              <w:t xml:space="preserve">乙方项目负责人（签名）：     </w:t>
            </w:r>
            <w:r>
              <w:rPr>
                <w:rFonts w:hint="default"/>
                <w:sz w:val="24"/>
              </w:rPr>
              <w:t xml:space="preserve">   </w:t>
            </w:r>
            <w:r>
              <w:rPr>
                <w:sz w:val="24"/>
              </w:rPr>
              <w:t>甲方</w:t>
            </w:r>
            <w:r>
              <w:rPr>
                <w:rFonts w:hint="eastAsia"/>
                <w:sz w:val="24"/>
                <w:lang w:val="en-US" w:eastAsia="zh-CN"/>
              </w:rPr>
              <w:t>主管</w:t>
            </w:r>
            <w:r>
              <w:rPr>
                <w:sz w:val="24"/>
              </w:rPr>
              <w:t>部门负责人（签名）：</w:t>
            </w:r>
          </w:p>
          <w:p w14:paraId="65C35213">
            <w:pPr>
              <w:pStyle w:val="22"/>
              <w:jc w:val="both"/>
              <w:rPr>
                <w:rFonts w:hint="default"/>
              </w:rPr>
            </w:pPr>
            <w:r>
              <w:rPr>
                <w:sz w:val="24"/>
              </w:rPr>
              <w:t>日期：                               日期：</w:t>
            </w:r>
          </w:p>
        </w:tc>
      </w:tr>
    </w:tbl>
    <w:p w14:paraId="46A909DE">
      <w:pPr>
        <w:pStyle w:val="22"/>
        <w:ind w:firstLine="420"/>
        <w:jc w:val="both"/>
        <w:rPr>
          <w:sz w:val="21"/>
        </w:rPr>
      </w:pPr>
      <w:r>
        <w:rPr>
          <w:sz w:val="21"/>
        </w:rPr>
        <w:t>说明：</w:t>
      </w:r>
    </w:p>
    <w:p w14:paraId="31C56125">
      <w:pPr>
        <w:pStyle w:val="22"/>
        <w:ind w:firstLine="420"/>
        <w:jc w:val="both"/>
        <w:rPr>
          <w:rFonts w:hint="eastAsia"/>
          <w:sz w:val="21"/>
          <w:lang w:val="en-US" w:eastAsia="zh-CN"/>
        </w:rPr>
      </w:pPr>
      <w:r>
        <w:rPr>
          <w:rFonts w:hint="eastAsia"/>
          <w:sz w:val="21"/>
          <w:lang w:val="en-US" w:eastAsia="zh-CN"/>
        </w:rPr>
        <w:t>（1）考核满分100分，90分（含）以上为合格，全额支付当月服务费固定结算部分；85-90分（含85分），扣除固定结算部分5%；70-85分（含70分），扣除10%；70分以下，扣除20%。</w:t>
      </w:r>
    </w:p>
    <w:p w14:paraId="7D3178AD">
      <w:pPr>
        <w:pStyle w:val="22"/>
        <w:ind w:firstLine="420"/>
        <w:jc w:val="both"/>
        <w:rPr>
          <w:rFonts w:hint="eastAsia"/>
          <w:sz w:val="21"/>
          <w:lang w:val="en-US" w:eastAsia="zh-CN"/>
        </w:rPr>
      </w:pPr>
      <w:r>
        <w:rPr>
          <w:rFonts w:hint="eastAsia"/>
          <w:sz w:val="21"/>
          <w:lang w:val="en-US" w:eastAsia="zh-CN"/>
        </w:rPr>
        <w:t>（2）连续2个月考核得分低于70分（双方签字确认），除扣减服务费外，采购人有权单方解除合同，要求中标人支付履约保证金10%的违约金，并追究损失赔偿责任。</w:t>
      </w:r>
    </w:p>
    <w:p w14:paraId="620A81F6">
      <w:pPr>
        <w:pStyle w:val="22"/>
        <w:ind w:firstLine="420"/>
        <w:jc w:val="both"/>
        <w:rPr>
          <w:rFonts w:hint="eastAsia"/>
          <w:sz w:val="21"/>
          <w:lang w:val="en-US" w:eastAsia="zh-CN"/>
        </w:rPr>
      </w:pPr>
      <w:r>
        <w:rPr>
          <w:rFonts w:hint="eastAsia"/>
          <w:sz w:val="21"/>
          <w:lang w:val="en-US" w:eastAsia="zh-CN"/>
        </w:rPr>
        <w:t>（3）特殊情况处理：中标人因特殊原因无法达到考核要求的，可提前3天书面告知采购人，经负责人同意后，可免除对应项扣分；双方对考核结果有异议的，需在考核结束后2日内书面提出，逾期未提出或未签字的，视为认可考核结果；因采购人原因导致中标人无法按要求提供服务的，免除扣分及服务费扣除。</w:t>
      </w:r>
    </w:p>
    <w:p w14:paraId="5B198348">
      <w:pPr>
        <w:pStyle w:val="22"/>
        <w:rPr>
          <w:rFonts w:hint="default"/>
        </w:rPr>
      </w:pPr>
      <w:r>
        <w:t xml:space="preserve"> </w:t>
      </w:r>
    </w:p>
    <w:p w14:paraId="5CD1870F">
      <w:pPr>
        <w:pStyle w:val="4"/>
        <w:rPr>
          <w:rFonts w:hint="eastAsia"/>
        </w:rPr>
      </w:pPr>
    </w:p>
    <w:p w14:paraId="6A3AE7A1">
      <w:pPr>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br w:type="page"/>
      </w:r>
    </w:p>
    <w:p w14:paraId="3F17B003">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rPr>
          <w:rFonts w:hint="default" w:eastAsia="仿宋" w:cs="仿宋" w:asciiTheme="minorAscii" w:hAnsiTheme="minorAscii"/>
          <w:b/>
          <w:bCs/>
          <w:sz w:val="44"/>
          <w:szCs w:val="44"/>
          <w:lang w:val="en-US" w:eastAsia="zh-CN"/>
        </w:rPr>
      </w:pPr>
      <w:bookmarkStart w:id="0" w:name="_GoBack"/>
      <w:bookmarkEnd w:id="0"/>
      <w:r>
        <w:rPr>
          <w:rFonts w:hint="eastAsia" w:ascii="方正公文小标宋" w:hAnsi="方正公文小标宋" w:eastAsia="方正公文小标宋" w:cs="方正公文小标宋"/>
          <w:b w:val="0"/>
          <w:bCs w:val="0"/>
          <w:sz w:val="44"/>
          <w:szCs w:val="44"/>
          <w:lang w:val="en-US" w:eastAsia="zh-CN"/>
        </w:rPr>
        <w:t>奥体中心2026年安保岗位配置表</w:t>
      </w:r>
    </w:p>
    <w:p w14:paraId="4874619E">
      <w:pPr>
        <w:numPr>
          <w:ilvl w:val="0"/>
          <w:numId w:val="0"/>
        </w:numPr>
        <w:ind w:leftChars="0"/>
        <w:jc w:val="left"/>
        <w:rPr>
          <w:rFonts w:hint="default"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1、</w:t>
      </w:r>
      <w:r>
        <w:rPr>
          <w:rFonts w:hint="default" w:eastAsia="仿宋" w:cs="仿宋" w:asciiTheme="minorAscii" w:hAnsiTheme="minorAscii"/>
          <w:b/>
          <w:bCs/>
          <w:sz w:val="28"/>
          <w:szCs w:val="28"/>
          <w:lang w:val="en-US" w:eastAsia="zh-CN"/>
        </w:rPr>
        <w:t>体育场岗位安排表</w:t>
      </w:r>
    </w:p>
    <w:tbl>
      <w:tblPr>
        <w:tblStyle w:val="11"/>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3195"/>
        <w:gridCol w:w="2135"/>
        <w:gridCol w:w="2135"/>
      </w:tblGrid>
      <w:tr w14:paraId="35CA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1073" w:type="dxa"/>
            <w:vAlign w:val="center"/>
          </w:tcPr>
          <w:p w14:paraId="5E2390B7">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195" w:type="dxa"/>
            <w:vAlign w:val="center"/>
          </w:tcPr>
          <w:p w14:paraId="655CCB5C">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35" w:type="dxa"/>
            <w:vAlign w:val="center"/>
          </w:tcPr>
          <w:p w14:paraId="4652C06C">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35" w:type="dxa"/>
            <w:vAlign w:val="center"/>
          </w:tcPr>
          <w:p w14:paraId="700C3E0D">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6B74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6230F4A0">
            <w:pPr>
              <w:numPr>
                <w:ilvl w:val="0"/>
                <w:numId w:val="0"/>
              </w:numPr>
              <w:ind w:left="0" w:leftChars="0" w:firstLine="0" w:firstLineChars="0"/>
              <w:jc w:val="left"/>
              <w:rPr>
                <w:rFonts w:hint="default" w:asciiTheme="minorAscii" w:hAnsiTheme="minorAscii"/>
                <w:b w:val="0"/>
                <w:bCs w:val="0"/>
                <w:sz w:val="24"/>
                <w:szCs w:val="24"/>
              </w:rPr>
            </w:pPr>
            <w:r>
              <w:rPr>
                <w:rFonts w:hint="default" w:asciiTheme="minorAscii" w:hAnsiTheme="minorAscii"/>
                <w:b w:val="0"/>
                <w:bCs w:val="0"/>
                <w:sz w:val="24"/>
                <w:szCs w:val="24"/>
              </w:rPr>
              <w:t>1</w:t>
            </w:r>
          </w:p>
        </w:tc>
        <w:tc>
          <w:tcPr>
            <w:tcW w:w="3195" w:type="dxa"/>
            <w:vAlign w:val="center"/>
          </w:tcPr>
          <w:p w14:paraId="1011A1D8">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驻场经理</w:t>
            </w:r>
          </w:p>
        </w:tc>
        <w:tc>
          <w:tcPr>
            <w:tcW w:w="2135" w:type="dxa"/>
            <w:vAlign w:val="center"/>
          </w:tcPr>
          <w:p w14:paraId="309906B0">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3D1E2F75">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1B7A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34CB51D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asciiTheme="minorAscii" w:hAnsiTheme="minorAscii"/>
                <w:b w:val="0"/>
                <w:bCs w:val="0"/>
                <w:sz w:val="24"/>
                <w:szCs w:val="24"/>
              </w:rPr>
              <w:t>2</w:t>
            </w:r>
          </w:p>
        </w:tc>
        <w:tc>
          <w:tcPr>
            <w:tcW w:w="3195" w:type="dxa"/>
            <w:vAlign w:val="center"/>
          </w:tcPr>
          <w:p w14:paraId="07F74293">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带</w:t>
            </w:r>
            <w:r>
              <w:rPr>
                <w:rFonts w:hint="default" w:eastAsia="仿宋" w:cs="仿宋" w:asciiTheme="minorAscii" w:hAnsiTheme="minorAscii"/>
                <w:b w:val="0"/>
                <w:bCs w:val="0"/>
                <w:sz w:val="24"/>
                <w:szCs w:val="24"/>
                <w:vertAlign w:val="baseline"/>
                <w:lang w:val="en-US" w:eastAsia="zh-CN"/>
              </w:rPr>
              <w:t>班队长</w:t>
            </w:r>
          </w:p>
        </w:tc>
        <w:tc>
          <w:tcPr>
            <w:tcW w:w="2135" w:type="dxa"/>
            <w:vAlign w:val="center"/>
          </w:tcPr>
          <w:p w14:paraId="3E78FE38">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2FE796C7">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7EDA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4E9CF00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3</w:t>
            </w:r>
          </w:p>
        </w:tc>
        <w:tc>
          <w:tcPr>
            <w:tcW w:w="3195" w:type="dxa"/>
            <w:vAlign w:val="center"/>
          </w:tcPr>
          <w:p w14:paraId="6DED96D7">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西门</w:t>
            </w:r>
          </w:p>
        </w:tc>
        <w:tc>
          <w:tcPr>
            <w:tcW w:w="2135" w:type="dxa"/>
            <w:vAlign w:val="center"/>
          </w:tcPr>
          <w:p w14:paraId="6E66DFB7">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775859CD">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3C93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3DEB374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asciiTheme="minorAscii" w:hAnsiTheme="minorAscii"/>
                <w:b w:val="0"/>
                <w:bCs w:val="0"/>
                <w:sz w:val="24"/>
                <w:szCs w:val="24"/>
                <w:lang w:val="en-US" w:eastAsia="zh-CN"/>
              </w:rPr>
              <w:t>4</w:t>
            </w:r>
          </w:p>
        </w:tc>
        <w:tc>
          <w:tcPr>
            <w:tcW w:w="3195" w:type="dxa"/>
            <w:vAlign w:val="center"/>
          </w:tcPr>
          <w:p w14:paraId="144A7693">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东南门</w:t>
            </w:r>
          </w:p>
        </w:tc>
        <w:tc>
          <w:tcPr>
            <w:tcW w:w="2135" w:type="dxa"/>
            <w:vAlign w:val="center"/>
          </w:tcPr>
          <w:p w14:paraId="039C9E12">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5AF5470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7890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13EAD5E0">
            <w:pPr>
              <w:numPr>
                <w:ilvl w:val="0"/>
                <w:numId w:val="0"/>
              </w:numPr>
              <w:ind w:left="0" w:leftChars="0" w:firstLine="0" w:firstLineChars="0"/>
              <w:jc w:val="left"/>
              <w:rPr>
                <w:rFonts w:hint="default" w:asciiTheme="minorAscii" w:hAnsiTheme="minorAscii"/>
                <w:b w:val="0"/>
                <w:bCs w:val="0"/>
                <w:sz w:val="24"/>
                <w:szCs w:val="24"/>
                <w:lang w:val="en-US" w:eastAsia="zh-CN"/>
              </w:rPr>
            </w:pPr>
            <w:r>
              <w:rPr>
                <w:rFonts w:hint="eastAsia" w:cs="仿宋" w:asciiTheme="minorAscii" w:hAnsiTheme="minorAscii"/>
                <w:b w:val="0"/>
                <w:bCs w:val="0"/>
                <w:sz w:val="24"/>
                <w:szCs w:val="24"/>
                <w:vertAlign w:val="baseline"/>
                <w:lang w:val="en-US" w:eastAsia="zh-CN"/>
              </w:rPr>
              <w:t>5</w:t>
            </w:r>
          </w:p>
        </w:tc>
        <w:tc>
          <w:tcPr>
            <w:tcW w:w="3195" w:type="dxa"/>
            <w:vAlign w:val="center"/>
          </w:tcPr>
          <w:p w14:paraId="74F3BBF8">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微型消防站</w:t>
            </w:r>
          </w:p>
        </w:tc>
        <w:tc>
          <w:tcPr>
            <w:tcW w:w="2135" w:type="dxa"/>
            <w:vAlign w:val="center"/>
          </w:tcPr>
          <w:p w14:paraId="17B2B22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2BC57796">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06D9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20A83711">
            <w:pPr>
              <w:numPr>
                <w:ilvl w:val="0"/>
                <w:numId w:val="0"/>
              </w:numPr>
              <w:ind w:left="0" w:leftChars="0" w:firstLine="0" w:firstLineChars="0"/>
              <w:jc w:val="left"/>
              <w:rPr>
                <w:rFonts w:hint="default" w:cs="仿宋" w:asciiTheme="minorAscii" w:hAnsiTheme="minorAscii" w:eastAsiaTheme="minorEastAsia"/>
                <w:b w:val="0"/>
                <w:bCs w:val="0"/>
                <w:sz w:val="24"/>
                <w:szCs w:val="24"/>
                <w:vertAlign w:val="baseline"/>
                <w:lang w:val="en-US" w:eastAsia="zh-CN"/>
              </w:rPr>
            </w:pPr>
            <w:r>
              <w:rPr>
                <w:rFonts w:hint="eastAsia" w:asciiTheme="minorAscii" w:hAnsiTheme="minorAscii"/>
                <w:b w:val="0"/>
                <w:bCs w:val="0"/>
                <w:sz w:val="24"/>
                <w:szCs w:val="24"/>
                <w:lang w:val="en-US" w:eastAsia="zh-CN"/>
              </w:rPr>
              <w:t>6</w:t>
            </w:r>
          </w:p>
        </w:tc>
        <w:tc>
          <w:tcPr>
            <w:tcW w:w="3195" w:type="dxa"/>
            <w:vAlign w:val="center"/>
          </w:tcPr>
          <w:p w14:paraId="42AC5B1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监控值班</w:t>
            </w:r>
          </w:p>
        </w:tc>
        <w:tc>
          <w:tcPr>
            <w:tcW w:w="2135" w:type="dxa"/>
            <w:vAlign w:val="center"/>
          </w:tcPr>
          <w:p w14:paraId="63DBFAAD">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43F70D7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4F28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2DA38330">
            <w:pPr>
              <w:numPr>
                <w:ilvl w:val="0"/>
                <w:numId w:val="0"/>
              </w:numPr>
              <w:ind w:left="0" w:leftChars="0" w:firstLine="0" w:firstLineChars="0"/>
              <w:jc w:val="left"/>
              <w:rPr>
                <w:rFonts w:hint="default" w:asciiTheme="minorAscii" w:hAnsiTheme="minorAscii" w:eastAsiaTheme="minorEastAsia"/>
                <w:b w:val="0"/>
                <w:bCs w:val="0"/>
                <w:sz w:val="24"/>
                <w:szCs w:val="24"/>
                <w:lang w:val="en-US" w:eastAsia="zh-CN"/>
              </w:rPr>
            </w:pPr>
            <w:r>
              <w:rPr>
                <w:rFonts w:hint="eastAsia" w:asciiTheme="minorAscii" w:hAnsiTheme="minorAscii"/>
                <w:b w:val="0"/>
                <w:bCs w:val="0"/>
                <w:sz w:val="24"/>
                <w:szCs w:val="24"/>
                <w:lang w:val="en-US" w:eastAsia="zh-CN"/>
              </w:rPr>
              <w:t>7</w:t>
            </w:r>
          </w:p>
        </w:tc>
        <w:tc>
          <w:tcPr>
            <w:tcW w:w="3195" w:type="dxa"/>
            <w:vAlign w:val="center"/>
          </w:tcPr>
          <w:p w14:paraId="5B2FBE7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贵宾区</w:t>
            </w:r>
          </w:p>
        </w:tc>
        <w:tc>
          <w:tcPr>
            <w:tcW w:w="2135" w:type="dxa"/>
            <w:vAlign w:val="center"/>
          </w:tcPr>
          <w:p w14:paraId="4A718E49">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2A7F25D4">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41D1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shd w:val="clear" w:color="auto" w:fill="auto"/>
            <w:vAlign w:val="center"/>
          </w:tcPr>
          <w:p w14:paraId="7B1BE35E">
            <w:pPr>
              <w:numPr>
                <w:ilvl w:val="0"/>
                <w:numId w:val="0"/>
              </w:numPr>
              <w:ind w:left="0" w:leftChars="0" w:firstLine="0" w:firstLineChars="0"/>
              <w:jc w:val="left"/>
              <w:rPr>
                <w:rFonts w:hint="eastAsia" w:asciiTheme="minorAscii" w:hAnsiTheme="minorAscii" w:eastAsiaTheme="minorEastAsia" w:cstheme="minorBidi"/>
                <w:b w:val="0"/>
                <w:bCs w:val="0"/>
                <w:kern w:val="2"/>
                <w:sz w:val="24"/>
                <w:szCs w:val="24"/>
                <w:lang w:val="en-US" w:eastAsia="zh-CN" w:bidi="ar-SA"/>
              </w:rPr>
            </w:pPr>
            <w:r>
              <w:rPr>
                <w:rFonts w:hint="eastAsia" w:asciiTheme="minorAscii" w:hAnsiTheme="minorAscii"/>
                <w:b w:val="0"/>
                <w:bCs w:val="0"/>
                <w:sz w:val="24"/>
                <w:szCs w:val="24"/>
                <w:lang w:val="en-US" w:eastAsia="zh-CN"/>
              </w:rPr>
              <w:t>8</w:t>
            </w:r>
          </w:p>
        </w:tc>
        <w:tc>
          <w:tcPr>
            <w:tcW w:w="3195" w:type="dxa"/>
            <w:vAlign w:val="center"/>
          </w:tcPr>
          <w:p w14:paraId="4582512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南</w:t>
            </w:r>
            <w:r>
              <w:rPr>
                <w:rFonts w:hint="default" w:eastAsia="仿宋" w:cs="仿宋" w:asciiTheme="minorAscii" w:hAnsiTheme="minorAscii"/>
                <w:b w:val="0"/>
                <w:bCs w:val="0"/>
                <w:sz w:val="24"/>
                <w:szCs w:val="24"/>
                <w:vertAlign w:val="baseline"/>
                <w:lang w:val="en-US" w:eastAsia="zh-CN"/>
              </w:rPr>
              <w:t>平台</w:t>
            </w:r>
          </w:p>
        </w:tc>
        <w:tc>
          <w:tcPr>
            <w:tcW w:w="2135" w:type="dxa"/>
            <w:vAlign w:val="center"/>
          </w:tcPr>
          <w:p w14:paraId="037546EB">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1754CAB3">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（16小时）</w:t>
            </w:r>
          </w:p>
        </w:tc>
      </w:tr>
      <w:tr w14:paraId="2865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shd w:val="clear" w:color="auto" w:fill="auto"/>
            <w:vAlign w:val="center"/>
          </w:tcPr>
          <w:p w14:paraId="2018C90A">
            <w:pPr>
              <w:numPr>
                <w:ilvl w:val="0"/>
                <w:numId w:val="0"/>
              </w:numPr>
              <w:ind w:left="0" w:leftChars="0" w:firstLine="0" w:firstLineChars="0"/>
              <w:jc w:val="left"/>
              <w:rPr>
                <w:rFonts w:hint="default" w:asciiTheme="minorAscii" w:hAnsiTheme="minorAscii" w:eastAsiaTheme="minorEastAsia" w:cstheme="minorBidi"/>
                <w:b w:val="0"/>
                <w:bCs w:val="0"/>
                <w:kern w:val="2"/>
                <w:sz w:val="24"/>
                <w:szCs w:val="24"/>
                <w:lang w:val="en-US" w:eastAsia="zh-CN" w:bidi="ar-SA"/>
              </w:rPr>
            </w:pPr>
            <w:r>
              <w:rPr>
                <w:rFonts w:hint="eastAsia" w:asciiTheme="minorAscii" w:hAnsiTheme="minorAscii"/>
                <w:b w:val="0"/>
                <w:bCs w:val="0"/>
                <w:sz w:val="24"/>
                <w:szCs w:val="24"/>
                <w:lang w:val="en-US" w:eastAsia="zh-CN"/>
              </w:rPr>
              <w:t>9</w:t>
            </w:r>
          </w:p>
        </w:tc>
        <w:tc>
          <w:tcPr>
            <w:tcW w:w="3195" w:type="dxa"/>
            <w:vAlign w:val="center"/>
          </w:tcPr>
          <w:p w14:paraId="4794524A">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北平台</w:t>
            </w:r>
          </w:p>
        </w:tc>
        <w:tc>
          <w:tcPr>
            <w:tcW w:w="2135" w:type="dxa"/>
            <w:vAlign w:val="center"/>
          </w:tcPr>
          <w:p w14:paraId="46FF581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2468BAC1">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（16小时）</w:t>
            </w:r>
          </w:p>
        </w:tc>
      </w:tr>
      <w:tr w14:paraId="2310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shd w:val="clear" w:color="auto" w:fill="auto"/>
            <w:vAlign w:val="center"/>
          </w:tcPr>
          <w:p w14:paraId="5B6C850B">
            <w:pPr>
              <w:numPr>
                <w:ilvl w:val="0"/>
                <w:numId w:val="0"/>
              </w:numPr>
              <w:ind w:left="0" w:leftChars="0" w:firstLine="0" w:firstLineChars="0"/>
              <w:jc w:val="left"/>
              <w:rPr>
                <w:rFonts w:hint="eastAsia" w:asciiTheme="minorAscii" w:hAnsiTheme="minorAscii"/>
                <w:b w:val="0"/>
                <w:bCs w:val="0"/>
                <w:sz w:val="24"/>
                <w:szCs w:val="24"/>
                <w:lang w:val="en-US" w:eastAsia="zh-CN"/>
              </w:rPr>
            </w:pPr>
            <w:r>
              <w:rPr>
                <w:rFonts w:hint="default" w:asciiTheme="minorAscii" w:hAnsiTheme="minorAscii"/>
                <w:b w:val="0"/>
                <w:bCs w:val="0"/>
                <w:sz w:val="24"/>
                <w:szCs w:val="24"/>
                <w:lang w:val="en-US" w:eastAsia="zh-CN"/>
              </w:rPr>
              <w:t>1</w:t>
            </w:r>
            <w:r>
              <w:rPr>
                <w:rFonts w:hint="eastAsia" w:asciiTheme="minorAscii" w:hAnsiTheme="minorAscii"/>
                <w:b w:val="0"/>
                <w:bCs w:val="0"/>
                <w:sz w:val="24"/>
                <w:szCs w:val="24"/>
                <w:lang w:val="en-US" w:eastAsia="zh-CN"/>
              </w:rPr>
              <w:t>0</w:t>
            </w:r>
          </w:p>
        </w:tc>
        <w:tc>
          <w:tcPr>
            <w:tcW w:w="3195" w:type="dxa"/>
            <w:vAlign w:val="center"/>
          </w:tcPr>
          <w:p w14:paraId="02C7DA44">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二层</w:t>
            </w:r>
            <w:r>
              <w:rPr>
                <w:rFonts w:hint="eastAsia" w:eastAsia="仿宋" w:cs="仿宋" w:asciiTheme="minorAscii" w:hAnsiTheme="minorAscii"/>
                <w:b w:val="0"/>
                <w:bCs w:val="0"/>
                <w:sz w:val="24"/>
                <w:szCs w:val="24"/>
                <w:vertAlign w:val="baseline"/>
                <w:lang w:val="en-US" w:eastAsia="zh-CN"/>
              </w:rPr>
              <w:t>开放区巡查</w:t>
            </w:r>
          </w:p>
        </w:tc>
        <w:tc>
          <w:tcPr>
            <w:tcW w:w="2135" w:type="dxa"/>
            <w:vAlign w:val="center"/>
          </w:tcPr>
          <w:p w14:paraId="6B356BC4">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042BEC1E">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（16小时）</w:t>
            </w:r>
          </w:p>
        </w:tc>
      </w:tr>
      <w:tr w14:paraId="71FA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shd w:val="clear" w:color="auto" w:fill="auto"/>
            <w:vAlign w:val="center"/>
          </w:tcPr>
          <w:p w14:paraId="701F0FA0">
            <w:pPr>
              <w:numPr>
                <w:ilvl w:val="0"/>
                <w:numId w:val="0"/>
              </w:numPr>
              <w:ind w:left="0" w:leftChars="0" w:firstLine="0" w:firstLineChars="0"/>
              <w:jc w:val="left"/>
              <w:rPr>
                <w:rFonts w:hint="default" w:asciiTheme="minorAscii" w:hAnsiTheme="minorAscii" w:eastAsiaTheme="minorEastAsia" w:cstheme="minorBidi"/>
                <w:b w:val="0"/>
                <w:bCs w:val="0"/>
                <w:kern w:val="2"/>
                <w:sz w:val="24"/>
                <w:szCs w:val="24"/>
                <w:lang w:val="en-US" w:eastAsia="zh-CN" w:bidi="ar-SA"/>
              </w:rPr>
            </w:pPr>
            <w:r>
              <w:rPr>
                <w:rFonts w:hint="default" w:asciiTheme="minorAscii" w:hAnsiTheme="minorAscii"/>
                <w:b w:val="0"/>
                <w:bCs w:val="0"/>
                <w:sz w:val="24"/>
                <w:szCs w:val="24"/>
                <w:lang w:val="en-US" w:eastAsia="zh-CN"/>
              </w:rPr>
              <w:t>1</w:t>
            </w:r>
            <w:r>
              <w:rPr>
                <w:rFonts w:hint="eastAsia" w:asciiTheme="minorAscii" w:hAnsiTheme="minorAscii"/>
                <w:b w:val="0"/>
                <w:bCs w:val="0"/>
                <w:sz w:val="24"/>
                <w:szCs w:val="24"/>
                <w:lang w:val="en-US" w:eastAsia="zh-CN"/>
              </w:rPr>
              <w:t>1</w:t>
            </w:r>
          </w:p>
        </w:tc>
        <w:tc>
          <w:tcPr>
            <w:tcW w:w="3195" w:type="dxa"/>
            <w:vAlign w:val="center"/>
          </w:tcPr>
          <w:p w14:paraId="0A4B7C13">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5</w:t>
            </w:r>
            <w:r>
              <w:rPr>
                <w:rFonts w:hint="default" w:eastAsia="仿宋" w:cs="仿宋" w:asciiTheme="minorAscii" w:hAnsiTheme="minorAscii"/>
                <w:b w:val="0"/>
                <w:bCs w:val="0"/>
                <w:sz w:val="24"/>
                <w:szCs w:val="24"/>
                <w:vertAlign w:val="baseline"/>
                <w:lang w:val="en-US" w:eastAsia="zh-CN"/>
              </w:rPr>
              <w:t>号通道</w:t>
            </w:r>
          </w:p>
        </w:tc>
        <w:tc>
          <w:tcPr>
            <w:tcW w:w="2135" w:type="dxa"/>
            <w:vAlign w:val="center"/>
          </w:tcPr>
          <w:p w14:paraId="6D99F42D">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76F17F3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0CD0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shd w:val="clear" w:color="auto" w:fill="auto"/>
            <w:vAlign w:val="center"/>
          </w:tcPr>
          <w:p w14:paraId="71633C19">
            <w:pPr>
              <w:numPr>
                <w:ilvl w:val="0"/>
                <w:numId w:val="0"/>
              </w:numPr>
              <w:ind w:left="0" w:leftChars="0" w:firstLine="0" w:firstLineChars="0"/>
              <w:jc w:val="left"/>
              <w:rPr>
                <w:rFonts w:hint="default" w:asciiTheme="minorAscii" w:hAnsiTheme="minorAscii" w:eastAsiaTheme="minorEastAsia" w:cstheme="minorBidi"/>
                <w:b w:val="0"/>
                <w:bCs w:val="0"/>
                <w:kern w:val="2"/>
                <w:sz w:val="24"/>
                <w:szCs w:val="24"/>
                <w:lang w:val="en-US" w:eastAsia="zh-CN" w:bidi="ar-SA"/>
              </w:rPr>
            </w:pPr>
            <w:r>
              <w:rPr>
                <w:rFonts w:hint="default" w:asciiTheme="minorAscii" w:hAnsiTheme="minorAscii"/>
                <w:b w:val="0"/>
                <w:bCs w:val="0"/>
                <w:sz w:val="24"/>
                <w:szCs w:val="24"/>
                <w:lang w:val="en-US" w:eastAsia="zh-CN"/>
              </w:rPr>
              <w:t>1</w:t>
            </w:r>
            <w:r>
              <w:rPr>
                <w:rFonts w:hint="eastAsia" w:asciiTheme="minorAscii" w:hAnsiTheme="minorAscii"/>
                <w:b w:val="0"/>
                <w:bCs w:val="0"/>
                <w:sz w:val="24"/>
                <w:szCs w:val="24"/>
                <w:lang w:val="en-US" w:eastAsia="zh-CN"/>
              </w:rPr>
              <w:t>2</w:t>
            </w:r>
          </w:p>
        </w:tc>
        <w:tc>
          <w:tcPr>
            <w:tcW w:w="3195" w:type="dxa"/>
            <w:vAlign w:val="center"/>
          </w:tcPr>
          <w:p w14:paraId="0A16816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副场</w:t>
            </w:r>
            <w:r>
              <w:rPr>
                <w:rFonts w:hint="eastAsia" w:eastAsia="仿宋" w:cs="仿宋" w:asciiTheme="minorAscii" w:hAnsiTheme="minorAscii"/>
                <w:b w:val="0"/>
                <w:bCs w:val="0"/>
                <w:sz w:val="24"/>
                <w:szCs w:val="24"/>
                <w:vertAlign w:val="baseline"/>
                <w:lang w:val="en-US" w:eastAsia="zh-CN"/>
              </w:rPr>
              <w:t>门岗</w:t>
            </w:r>
          </w:p>
        </w:tc>
        <w:tc>
          <w:tcPr>
            <w:tcW w:w="2135" w:type="dxa"/>
            <w:vAlign w:val="center"/>
          </w:tcPr>
          <w:p w14:paraId="1CA6684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11352319">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（16小时）</w:t>
            </w:r>
          </w:p>
        </w:tc>
      </w:tr>
      <w:tr w14:paraId="309A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554CB340">
            <w:pPr>
              <w:numPr>
                <w:ilvl w:val="0"/>
                <w:numId w:val="0"/>
              </w:numPr>
              <w:ind w:left="0" w:leftChars="0" w:firstLine="0" w:firstLineChars="0"/>
              <w:jc w:val="left"/>
              <w:rPr>
                <w:rFonts w:hint="default" w:asciiTheme="minorAscii" w:hAnsiTheme="minorAscii"/>
                <w:b w:val="0"/>
                <w:bCs w:val="0"/>
                <w:sz w:val="24"/>
                <w:szCs w:val="24"/>
                <w:lang w:val="en-US" w:eastAsia="zh-CN"/>
              </w:rPr>
            </w:pPr>
            <w:r>
              <w:rPr>
                <w:rFonts w:hint="default" w:asciiTheme="minorAscii" w:hAnsiTheme="minorAscii"/>
                <w:b w:val="0"/>
                <w:bCs w:val="0"/>
                <w:sz w:val="24"/>
                <w:szCs w:val="24"/>
                <w:lang w:val="en-US" w:eastAsia="zh-CN"/>
              </w:rPr>
              <w:t>1</w:t>
            </w:r>
            <w:r>
              <w:rPr>
                <w:rFonts w:hint="eastAsia" w:asciiTheme="minorAscii" w:hAnsiTheme="minorAscii"/>
                <w:b w:val="0"/>
                <w:bCs w:val="0"/>
                <w:sz w:val="24"/>
                <w:szCs w:val="24"/>
                <w:lang w:val="en-US" w:eastAsia="zh-CN"/>
              </w:rPr>
              <w:t>3</w:t>
            </w:r>
          </w:p>
        </w:tc>
        <w:tc>
          <w:tcPr>
            <w:tcW w:w="3195" w:type="dxa"/>
            <w:vAlign w:val="center"/>
          </w:tcPr>
          <w:p w14:paraId="262876A2">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副场场内巡逻</w:t>
            </w:r>
          </w:p>
        </w:tc>
        <w:tc>
          <w:tcPr>
            <w:tcW w:w="2135" w:type="dxa"/>
            <w:vAlign w:val="center"/>
          </w:tcPr>
          <w:p w14:paraId="3CF8162A">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4D362788">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（16小时）</w:t>
            </w:r>
          </w:p>
        </w:tc>
      </w:tr>
      <w:tr w14:paraId="571F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3EC8F3CD">
            <w:pPr>
              <w:numPr>
                <w:ilvl w:val="0"/>
                <w:numId w:val="0"/>
              </w:numPr>
              <w:ind w:left="0" w:leftChars="0" w:firstLine="0" w:firstLineChars="0"/>
              <w:jc w:val="left"/>
              <w:rPr>
                <w:rFonts w:hint="default" w:asciiTheme="minorAscii" w:hAnsiTheme="minorAscii"/>
                <w:b w:val="0"/>
                <w:bCs w:val="0"/>
                <w:sz w:val="24"/>
                <w:szCs w:val="24"/>
                <w:lang w:val="en-US" w:eastAsia="zh-CN"/>
              </w:rPr>
            </w:pPr>
            <w:r>
              <w:rPr>
                <w:rFonts w:hint="default" w:eastAsia="仿宋" w:cs="仿宋" w:asciiTheme="minorAscii" w:hAnsiTheme="minorAscii"/>
                <w:b w:val="0"/>
                <w:bCs w:val="0"/>
                <w:sz w:val="24"/>
                <w:szCs w:val="24"/>
                <w:vertAlign w:val="baseline"/>
                <w:lang w:val="en-US" w:eastAsia="zh-CN"/>
              </w:rPr>
              <w:t>1</w:t>
            </w:r>
            <w:r>
              <w:rPr>
                <w:rFonts w:hint="eastAsia" w:eastAsia="仿宋" w:cs="仿宋" w:asciiTheme="minorAscii" w:hAnsiTheme="minorAscii"/>
                <w:b w:val="0"/>
                <w:bCs w:val="0"/>
                <w:sz w:val="24"/>
                <w:szCs w:val="24"/>
                <w:vertAlign w:val="baseline"/>
                <w:lang w:val="en-US" w:eastAsia="zh-CN"/>
              </w:rPr>
              <w:t>4</w:t>
            </w:r>
          </w:p>
        </w:tc>
        <w:tc>
          <w:tcPr>
            <w:tcW w:w="3195" w:type="dxa"/>
            <w:vAlign w:val="center"/>
          </w:tcPr>
          <w:p w14:paraId="198303E4">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东内场巡查（含MOC）</w:t>
            </w:r>
          </w:p>
        </w:tc>
        <w:tc>
          <w:tcPr>
            <w:tcW w:w="2135" w:type="dxa"/>
            <w:vAlign w:val="center"/>
          </w:tcPr>
          <w:p w14:paraId="1ADFA1FA">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671F9E26">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022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02B8FC19">
            <w:pPr>
              <w:numPr>
                <w:ilvl w:val="0"/>
                <w:numId w:val="0"/>
              </w:numPr>
              <w:ind w:left="0" w:leftChars="0" w:firstLine="0" w:firstLineChars="0"/>
              <w:jc w:val="left"/>
              <w:rPr>
                <w:rFonts w:hint="default" w:asciiTheme="minorAscii" w:hAnsiTheme="minorAscii"/>
                <w:b w:val="0"/>
                <w:bCs w:val="0"/>
                <w:sz w:val="24"/>
                <w:szCs w:val="24"/>
                <w:lang w:val="en-US" w:eastAsia="zh-CN"/>
              </w:rPr>
            </w:pPr>
            <w:r>
              <w:rPr>
                <w:rFonts w:hint="default" w:eastAsia="仿宋" w:cs="仿宋" w:asciiTheme="minorAscii" w:hAnsiTheme="minorAscii"/>
                <w:b w:val="0"/>
                <w:bCs w:val="0"/>
                <w:sz w:val="24"/>
                <w:szCs w:val="24"/>
                <w:vertAlign w:val="baseline"/>
                <w:lang w:val="en-US" w:eastAsia="zh-CN"/>
              </w:rPr>
              <w:t>1</w:t>
            </w:r>
            <w:r>
              <w:rPr>
                <w:rFonts w:hint="eastAsia" w:eastAsia="仿宋" w:cs="仿宋" w:asciiTheme="minorAscii" w:hAnsiTheme="minorAscii"/>
                <w:b w:val="0"/>
                <w:bCs w:val="0"/>
                <w:sz w:val="24"/>
                <w:szCs w:val="24"/>
                <w:vertAlign w:val="baseline"/>
                <w:lang w:val="en-US" w:eastAsia="zh-CN"/>
              </w:rPr>
              <w:t>5</w:t>
            </w:r>
          </w:p>
        </w:tc>
        <w:tc>
          <w:tcPr>
            <w:tcW w:w="3195" w:type="dxa"/>
            <w:vAlign w:val="center"/>
          </w:tcPr>
          <w:p w14:paraId="15457C92">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西内场巡查（含车库）</w:t>
            </w:r>
          </w:p>
        </w:tc>
        <w:tc>
          <w:tcPr>
            <w:tcW w:w="2135" w:type="dxa"/>
            <w:vAlign w:val="center"/>
          </w:tcPr>
          <w:p w14:paraId="4BF10DF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264945EA">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4F83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45DF527C">
            <w:pPr>
              <w:numPr>
                <w:ilvl w:val="0"/>
                <w:numId w:val="0"/>
              </w:numPr>
              <w:ind w:left="0" w:leftChars="0" w:firstLine="0" w:firstLineChars="0"/>
              <w:jc w:val="left"/>
              <w:rPr>
                <w:rFonts w:hint="default" w:asciiTheme="minorAscii" w:hAnsiTheme="minorAscii" w:eastAsiaTheme="minorEastAsia"/>
                <w:b w:val="0"/>
                <w:bCs w:val="0"/>
                <w:sz w:val="24"/>
                <w:szCs w:val="24"/>
                <w:lang w:val="en-US" w:eastAsia="zh-CN"/>
              </w:rPr>
            </w:pPr>
            <w:r>
              <w:rPr>
                <w:rFonts w:hint="eastAsia" w:eastAsia="仿宋" w:cs="仿宋" w:asciiTheme="minorAscii" w:hAnsiTheme="minorAscii"/>
                <w:b w:val="0"/>
                <w:bCs w:val="0"/>
                <w:sz w:val="24"/>
                <w:szCs w:val="24"/>
                <w:vertAlign w:val="baseline"/>
                <w:lang w:val="en-US" w:eastAsia="zh-CN"/>
              </w:rPr>
              <w:t>16</w:t>
            </w:r>
          </w:p>
        </w:tc>
        <w:tc>
          <w:tcPr>
            <w:tcW w:w="3195" w:type="dxa"/>
            <w:vAlign w:val="center"/>
          </w:tcPr>
          <w:p w14:paraId="6C38ED28">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外场巡查1</w:t>
            </w:r>
            <w:r>
              <w:rPr>
                <w:rFonts w:hint="eastAsia" w:eastAsia="仿宋" w:cs="仿宋" w:asciiTheme="minorAscii" w:hAnsiTheme="minorAscii"/>
                <w:b w:val="0"/>
                <w:bCs w:val="0"/>
                <w:sz w:val="24"/>
                <w:szCs w:val="24"/>
                <w:vertAlign w:val="baseline"/>
                <w:lang w:val="en-US" w:eastAsia="zh-CN"/>
              </w:rPr>
              <w:t>（平面、车场、秩序维护、顶岗、应急处置）</w:t>
            </w:r>
          </w:p>
        </w:tc>
        <w:tc>
          <w:tcPr>
            <w:tcW w:w="2135" w:type="dxa"/>
            <w:vAlign w:val="center"/>
          </w:tcPr>
          <w:p w14:paraId="6032541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459FEADB">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25F7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2CA13C75">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r>
              <w:rPr>
                <w:rFonts w:hint="eastAsia" w:eastAsia="仿宋" w:cs="仿宋" w:asciiTheme="minorAscii" w:hAnsiTheme="minorAscii"/>
                <w:b w:val="0"/>
                <w:bCs w:val="0"/>
                <w:sz w:val="24"/>
                <w:szCs w:val="24"/>
                <w:vertAlign w:val="baseline"/>
                <w:lang w:val="en-US" w:eastAsia="zh-CN"/>
              </w:rPr>
              <w:t>7</w:t>
            </w:r>
          </w:p>
        </w:tc>
        <w:tc>
          <w:tcPr>
            <w:tcW w:w="3195" w:type="dxa"/>
            <w:vAlign w:val="center"/>
          </w:tcPr>
          <w:p w14:paraId="42A40BAD">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外场巡查2</w:t>
            </w:r>
            <w:r>
              <w:rPr>
                <w:rFonts w:hint="eastAsia" w:eastAsia="仿宋" w:cs="仿宋" w:asciiTheme="minorAscii" w:hAnsiTheme="minorAscii"/>
                <w:b w:val="0"/>
                <w:bCs w:val="0"/>
                <w:sz w:val="24"/>
                <w:szCs w:val="24"/>
                <w:vertAlign w:val="baseline"/>
                <w:lang w:val="en-US" w:eastAsia="zh-CN"/>
              </w:rPr>
              <w:t>（平面、车场秩序维护、顶岗、应急处置）</w:t>
            </w:r>
          </w:p>
        </w:tc>
        <w:tc>
          <w:tcPr>
            <w:tcW w:w="2135" w:type="dxa"/>
            <w:vAlign w:val="center"/>
          </w:tcPr>
          <w:p w14:paraId="6B900CF6">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26ACE88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5DC3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12F56293">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18</w:t>
            </w:r>
          </w:p>
        </w:tc>
        <w:tc>
          <w:tcPr>
            <w:tcW w:w="3195" w:type="dxa"/>
            <w:shd w:val="clear" w:color="auto" w:fill="auto"/>
            <w:vAlign w:val="center"/>
          </w:tcPr>
          <w:p w14:paraId="1D310012">
            <w:pPr>
              <w:numPr>
                <w:ilvl w:val="0"/>
                <w:numId w:val="0"/>
              </w:numPr>
              <w:ind w:left="0" w:leftChars="0" w:firstLine="0" w:firstLineChars="0"/>
              <w:jc w:val="left"/>
              <w:rPr>
                <w:rFonts w:hint="default" w:eastAsia="仿宋" w:cs="仿宋" w:asciiTheme="minorAscii" w:hAnsiTheme="minorAscii"/>
                <w:b w:val="0"/>
                <w:bCs w:val="0"/>
                <w:kern w:val="2"/>
                <w:sz w:val="24"/>
                <w:szCs w:val="24"/>
                <w:vertAlign w:val="baseline"/>
                <w:lang w:val="en-US" w:eastAsia="zh-CN" w:bidi="ar-SA"/>
              </w:rPr>
            </w:pPr>
            <w:r>
              <w:rPr>
                <w:rFonts w:hint="eastAsia" w:eastAsia="仿宋" w:cs="仿宋" w:asciiTheme="minorAscii" w:hAnsiTheme="minorAscii"/>
                <w:b w:val="0"/>
                <w:bCs w:val="0"/>
                <w:sz w:val="24"/>
                <w:szCs w:val="24"/>
                <w:vertAlign w:val="baseline"/>
                <w:lang w:val="en-US" w:eastAsia="zh-CN"/>
              </w:rPr>
              <w:t>外场巡查3（平面、车场、秩序维护、顶岗、应急处置）</w:t>
            </w:r>
          </w:p>
        </w:tc>
        <w:tc>
          <w:tcPr>
            <w:tcW w:w="2135" w:type="dxa"/>
            <w:vAlign w:val="center"/>
          </w:tcPr>
          <w:p w14:paraId="36AA375B">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2EBE3918">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p>
        </w:tc>
      </w:tr>
      <w:tr w14:paraId="4ED9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11FA89DB">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19</w:t>
            </w:r>
          </w:p>
        </w:tc>
        <w:tc>
          <w:tcPr>
            <w:tcW w:w="3195" w:type="dxa"/>
            <w:shd w:val="clear" w:color="auto" w:fill="auto"/>
            <w:vAlign w:val="center"/>
          </w:tcPr>
          <w:p w14:paraId="35AA1677">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外场巡查</w:t>
            </w:r>
            <w:r>
              <w:rPr>
                <w:rFonts w:hint="eastAsia" w:eastAsia="仿宋" w:cs="仿宋" w:asciiTheme="minorAscii" w:hAnsiTheme="minorAscii"/>
                <w:b w:val="0"/>
                <w:bCs w:val="0"/>
                <w:sz w:val="24"/>
                <w:szCs w:val="24"/>
                <w:vertAlign w:val="baseline"/>
                <w:lang w:val="en-US" w:eastAsia="zh-CN"/>
              </w:rPr>
              <w:t>4（平面、车场秩序维护、顶岗、应急处置）</w:t>
            </w:r>
          </w:p>
        </w:tc>
        <w:tc>
          <w:tcPr>
            <w:tcW w:w="2135" w:type="dxa"/>
            <w:vAlign w:val="center"/>
          </w:tcPr>
          <w:p w14:paraId="7AA25D4F">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35" w:type="dxa"/>
            <w:vAlign w:val="center"/>
          </w:tcPr>
          <w:p w14:paraId="284BDFB2">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（16小时）</w:t>
            </w:r>
          </w:p>
        </w:tc>
      </w:tr>
      <w:tr w14:paraId="703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73" w:type="dxa"/>
            <w:vAlign w:val="center"/>
          </w:tcPr>
          <w:p w14:paraId="38B572AE">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20</w:t>
            </w:r>
          </w:p>
        </w:tc>
        <w:tc>
          <w:tcPr>
            <w:tcW w:w="3195" w:type="dxa"/>
            <w:shd w:val="clear" w:color="auto" w:fill="auto"/>
            <w:vAlign w:val="center"/>
          </w:tcPr>
          <w:p w14:paraId="548DCBF9">
            <w:pPr>
              <w:numPr>
                <w:ilvl w:val="0"/>
                <w:numId w:val="0"/>
              </w:numPr>
              <w:ind w:left="0" w:leftChars="0" w:firstLine="0" w:firstLineChars="0"/>
              <w:jc w:val="left"/>
              <w:rPr>
                <w:rFonts w:hint="default" w:eastAsia="仿宋" w:cs="仿宋" w:asciiTheme="minorAscii" w:hAnsiTheme="minorAscii"/>
                <w:b w:val="0"/>
                <w:bCs w:val="0"/>
                <w:kern w:val="2"/>
                <w:sz w:val="24"/>
                <w:szCs w:val="24"/>
                <w:vertAlign w:val="baseline"/>
                <w:lang w:val="en-US" w:eastAsia="zh-CN" w:bidi="ar-SA"/>
              </w:rPr>
            </w:pPr>
            <w:r>
              <w:rPr>
                <w:rFonts w:hint="eastAsia" w:eastAsia="仿宋" w:cs="仿宋" w:asciiTheme="minorAscii" w:hAnsiTheme="minorAscii"/>
                <w:b w:val="0"/>
                <w:bCs w:val="0"/>
                <w:sz w:val="24"/>
                <w:szCs w:val="24"/>
                <w:vertAlign w:val="baseline"/>
                <w:lang w:val="en-US" w:eastAsia="zh-CN"/>
              </w:rPr>
              <w:t>外场巡查5（平面、车场秩序维护、顶岗、应急处置）</w:t>
            </w:r>
          </w:p>
        </w:tc>
        <w:tc>
          <w:tcPr>
            <w:tcW w:w="2135" w:type="dxa"/>
            <w:vAlign w:val="center"/>
          </w:tcPr>
          <w:p w14:paraId="641EB7F4">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35" w:type="dxa"/>
            <w:vAlign w:val="center"/>
          </w:tcPr>
          <w:p w14:paraId="6F59F6AD">
            <w:pPr>
              <w:numPr>
                <w:ilvl w:val="0"/>
                <w:numId w:val="0"/>
              </w:numPr>
              <w:ind w:left="0" w:leftChars="0" w:firstLine="0" w:firstLineChars="0"/>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（16小时）</w:t>
            </w:r>
          </w:p>
        </w:tc>
      </w:tr>
      <w:tr w14:paraId="1163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38" w:type="dxa"/>
            <w:gridSpan w:val="4"/>
            <w:vAlign w:val="center"/>
          </w:tcPr>
          <w:p w14:paraId="23ADB606">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小计：24小时岗位1</w:t>
            </w:r>
            <w:r>
              <w:rPr>
                <w:rFonts w:hint="eastAsia" w:eastAsia="仿宋" w:cs="仿宋" w:asciiTheme="minorAscii" w:hAnsiTheme="minorAscii"/>
                <w:b w:val="0"/>
                <w:bCs w:val="0"/>
                <w:sz w:val="24"/>
                <w:szCs w:val="24"/>
                <w:vertAlign w:val="baseline"/>
                <w:lang w:val="en-US" w:eastAsia="zh-CN"/>
              </w:rPr>
              <w:t>2个</w:t>
            </w:r>
            <w:r>
              <w:rPr>
                <w:rFonts w:hint="default" w:eastAsia="仿宋" w:cs="仿宋" w:asciiTheme="minorAscii" w:hAnsiTheme="minorAscii"/>
                <w:b w:val="0"/>
                <w:bCs w:val="0"/>
                <w:sz w:val="24"/>
                <w:szCs w:val="24"/>
                <w:vertAlign w:val="baseline"/>
                <w:lang w:val="en-US" w:eastAsia="zh-CN"/>
              </w:rPr>
              <w:t>，16小时岗位</w:t>
            </w:r>
            <w:r>
              <w:rPr>
                <w:rFonts w:hint="eastAsia" w:eastAsia="仿宋" w:cs="仿宋" w:asciiTheme="minorAscii" w:hAnsiTheme="minorAscii"/>
                <w:b w:val="0"/>
                <w:bCs w:val="0"/>
                <w:sz w:val="24"/>
                <w:szCs w:val="24"/>
                <w:vertAlign w:val="baseline"/>
                <w:lang w:val="en-US" w:eastAsia="zh-CN"/>
              </w:rPr>
              <w:t>7个</w:t>
            </w:r>
            <w:r>
              <w:rPr>
                <w:rFonts w:hint="default" w:eastAsia="仿宋" w:cs="仿宋" w:asciiTheme="minorAscii" w:hAnsiTheme="minorAscii"/>
                <w:b w:val="0"/>
                <w:bCs w:val="0"/>
                <w:sz w:val="24"/>
                <w:szCs w:val="24"/>
                <w:vertAlign w:val="baseline"/>
                <w:lang w:val="en-US" w:eastAsia="zh-CN"/>
              </w:rPr>
              <w:t>。</w:t>
            </w:r>
          </w:p>
        </w:tc>
      </w:tr>
    </w:tbl>
    <w:p w14:paraId="53A8631D">
      <w:pPr>
        <w:numPr>
          <w:ilvl w:val="0"/>
          <w:numId w:val="0"/>
        </w:numPr>
        <w:ind w:leftChars="0"/>
        <w:jc w:val="left"/>
        <w:rPr>
          <w:rFonts w:hint="default" w:eastAsia="仿宋" w:cs="仿宋" w:asciiTheme="minorAscii" w:hAnsiTheme="minorAscii"/>
          <w:b w:val="0"/>
          <w:bCs w:val="0"/>
          <w:sz w:val="24"/>
          <w:szCs w:val="24"/>
          <w:lang w:val="en-US" w:eastAsia="zh-CN"/>
        </w:rPr>
      </w:pPr>
    </w:p>
    <w:p w14:paraId="11E46760">
      <w:pPr>
        <w:numPr>
          <w:ilvl w:val="0"/>
          <w:numId w:val="0"/>
        </w:numPr>
        <w:ind w:leftChars="0"/>
        <w:jc w:val="left"/>
        <w:rPr>
          <w:rFonts w:hint="default"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2、</w:t>
      </w:r>
      <w:r>
        <w:rPr>
          <w:rFonts w:hint="default" w:eastAsia="仿宋" w:cs="仿宋" w:asciiTheme="minorAscii" w:hAnsiTheme="minorAscii"/>
          <w:b/>
          <w:bCs/>
          <w:sz w:val="28"/>
          <w:szCs w:val="28"/>
          <w:lang w:val="en-US" w:eastAsia="zh-CN"/>
        </w:rPr>
        <w:t>MOC岗位安排表</w:t>
      </w:r>
    </w:p>
    <w:tbl>
      <w:tblPr>
        <w:tblStyle w:val="11"/>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205"/>
        <w:gridCol w:w="2125"/>
        <w:gridCol w:w="2125"/>
      </w:tblGrid>
      <w:tr w14:paraId="1B40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1E5F3478">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205" w:type="dxa"/>
            <w:vAlign w:val="center"/>
          </w:tcPr>
          <w:p w14:paraId="2855C3BF">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25" w:type="dxa"/>
            <w:vAlign w:val="center"/>
          </w:tcPr>
          <w:p w14:paraId="06801CE8">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25" w:type="dxa"/>
            <w:vAlign w:val="center"/>
          </w:tcPr>
          <w:p w14:paraId="3EE28603">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4F70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7E10E482">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3205" w:type="dxa"/>
            <w:vAlign w:val="center"/>
          </w:tcPr>
          <w:p w14:paraId="549128B5">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MOC</w:t>
            </w:r>
            <w:r>
              <w:rPr>
                <w:rFonts w:hint="eastAsia" w:eastAsia="仿宋" w:cs="仿宋" w:asciiTheme="minorAscii" w:hAnsiTheme="minorAscii"/>
                <w:b w:val="0"/>
                <w:bCs w:val="0"/>
                <w:sz w:val="24"/>
                <w:szCs w:val="24"/>
                <w:vertAlign w:val="baseline"/>
                <w:lang w:val="en-US" w:eastAsia="zh-CN"/>
              </w:rPr>
              <w:t>办公区</w:t>
            </w:r>
            <w:r>
              <w:rPr>
                <w:rFonts w:hint="default" w:eastAsia="仿宋" w:cs="仿宋" w:asciiTheme="minorAscii" w:hAnsiTheme="minorAscii"/>
                <w:b w:val="0"/>
                <w:bCs w:val="0"/>
                <w:sz w:val="24"/>
                <w:szCs w:val="24"/>
                <w:vertAlign w:val="baseline"/>
                <w:lang w:val="en-US" w:eastAsia="zh-CN"/>
              </w:rPr>
              <w:t>门岗</w:t>
            </w:r>
          </w:p>
        </w:tc>
        <w:tc>
          <w:tcPr>
            <w:tcW w:w="2125" w:type="dxa"/>
            <w:vAlign w:val="center"/>
          </w:tcPr>
          <w:p w14:paraId="3BB89F04">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25" w:type="dxa"/>
            <w:vAlign w:val="center"/>
          </w:tcPr>
          <w:p w14:paraId="2F430166">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68C5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498" w:type="dxa"/>
            <w:gridSpan w:val="4"/>
            <w:vAlign w:val="center"/>
          </w:tcPr>
          <w:p w14:paraId="7D4AC143">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小计：24小时岗位1</w:t>
            </w:r>
            <w:r>
              <w:rPr>
                <w:rFonts w:hint="eastAsia" w:eastAsia="仿宋" w:cs="仿宋" w:asciiTheme="minorAscii" w:hAnsiTheme="minorAscii"/>
                <w:b w:val="0"/>
                <w:bCs w:val="0"/>
                <w:sz w:val="24"/>
                <w:szCs w:val="24"/>
                <w:vertAlign w:val="baseline"/>
                <w:lang w:val="en-US" w:eastAsia="zh-CN"/>
              </w:rPr>
              <w:t>个。</w:t>
            </w:r>
          </w:p>
        </w:tc>
      </w:tr>
    </w:tbl>
    <w:p w14:paraId="66819AC6">
      <w:pPr>
        <w:numPr>
          <w:ilvl w:val="0"/>
          <w:numId w:val="0"/>
        </w:numPr>
        <w:jc w:val="left"/>
        <w:rPr>
          <w:rFonts w:hint="eastAsia" w:eastAsia="仿宋" w:cs="仿宋" w:asciiTheme="minorAscii" w:hAnsiTheme="minorAscii"/>
          <w:b w:val="0"/>
          <w:bCs w:val="0"/>
          <w:sz w:val="28"/>
          <w:szCs w:val="28"/>
          <w:lang w:val="en-US" w:eastAsia="zh-CN"/>
        </w:rPr>
      </w:pPr>
    </w:p>
    <w:p w14:paraId="2C46423B">
      <w:pPr>
        <w:numPr>
          <w:ilvl w:val="0"/>
          <w:numId w:val="0"/>
        </w:numPr>
        <w:jc w:val="left"/>
        <w:rPr>
          <w:rFonts w:hint="eastAsia"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3、智慧公园岗位安排表</w:t>
      </w:r>
    </w:p>
    <w:tbl>
      <w:tblPr>
        <w:tblStyle w:val="11"/>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205"/>
        <w:gridCol w:w="2125"/>
        <w:gridCol w:w="2125"/>
      </w:tblGrid>
      <w:tr w14:paraId="489E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40BC8775">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205" w:type="dxa"/>
            <w:vAlign w:val="center"/>
          </w:tcPr>
          <w:p w14:paraId="6D34BBF1">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25" w:type="dxa"/>
            <w:vAlign w:val="center"/>
          </w:tcPr>
          <w:p w14:paraId="7A0D4ABE">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25" w:type="dxa"/>
            <w:vAlign w:val="center"/>
          </w:tcPr>
          <w:p w14:paraId="34A61BA0">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7892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31B1ADFC">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3205" w:type="dxa"/>
            <w:vAlign w:val="center"/>
          </w:tcPr>
          <w:p w14:paraId="29C6F19E">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智慧公园</w:t>
            </w:r>
            <w:r>
              <w:rPr>
                <w:rFonts w:hint="default" w:eastAsia="仿宋" w:cs="仿宋" w:asciiTheme="minorAscii" w:hAnsiTheme="minorAscii"/>
                <w:b w:val="0"/>
                <w:bCs w:val="0"/>
                <w:sz w:val="24"/>
                <w:szCs w:val="24"/>
                <w:vertAlign w:val="baseline"/>
                <w:lang w:val="en-US" w:eastAsia="zh-CN"/>
              </w:rPr>
              <w:t>门岗</w:t>
            </w:r>
          </w:p>
        </w:tc>
        <w:tc>
          <w:tcPr>
            <w:tcW w:w="2125" w:type="dxa"/>
            <w:vAlign w:val="center"/>
          </w:tcPr>
          <w:p w14:paraId="781ADCFC">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25" w:type="dxa"/>
            <w:vAlign w:val="center"/>
          </w:tcPr>
          <w:p w14:paraId="5A60D069">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（10小时）</w:t>
            </w:r>
          </w:p>
        </w:tc>
      </w:tr>
      <w:tr w14:paraId="19AA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56B6B9BC">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2</w:t>
            </w:r>
          </w:p>
        </w:tc>
        <w:tc>
          <w:tcPr>
            <w:tcW w:w="3205" w:type="dxa"/>
            <w:vAlign w:val="center"/>
          </w:tcPr>
          <w:p w14:paraId="268D9214">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场内巡查</w:t>
            </w:r>
          </w:p>
        </w:tc>
        <w:tc>
          <w:tcPr>
            <w:tcW w:w="2125" w:type="dxa"/>
            <w:vAlign w:val="center"/>
          </w:tcPr>
          <w:p w14:paraId="01532A9A">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2125" w:type="dxa"/>
            <w:vAlign w:val="center"/>
          </w:tcPr>
          <w:p w14:paraId="5D5B2D42">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（10小时）</w:t>
            </w:r>
          </w:p>
        </w:tc>
      </w:tr>
      <w:tr w14:paraId="130B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498" w:type="dxa"/>
            <w:gridSpan w:val="4"/>
            <w:vAlign w:val="center"/>
          </w:tcPr>
          <w:p w14:paraId="2ADB06AA">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小计：</w:t>
            </w:r>
            <w:r>
              <w:rPr>
                <w:rFonts w:hint="eastAsia" w:eastAsia="仿宋" w:cs="仿宋" w:asciiTheme="minorAscii" w:hAnsiTheme="minorAscii"/>
                <w:b w:val="0"/>
                <w:bCs w:val="0"/>
                <w:sz w:val="24"/>
                <w:szCs w:val="24"/>
                <w:vertAlign w:val="baseline"/>
                <w:lang w:val="en-US" w:eastAsia="zh-CN"/>
              </w:rPr>
              <w:t>10小时岗位2个。</w:t>
            </w:r>
          </w:p>
        </w:tc>
      </w:tr>
    </w:tbl>
    <w:p w14:paraId="7B925A01">
      <w:pPr>
        <w:numPr>
          <w:ilvl w:val="0"/>
          <w:numId w:val="0"/>
        </w:numPr>
        <w:ind w:leftChars="0"/>
        <w:jc w:val="left"/>
        <w:rPr>
          <w:rFonts w:hint="default" w:eastAsia="仿宋" w:cs="仿宋" w:asciiTheme="minorAscii" w:hAnsiTheme="minorAscii"/>
          <w:b w:val="0"/>
          <w:bCs w:val="0"/>
          <w:sz w:val="28"/>
          <w:szCs w:val="28"/>
          <w:lang w:val="en-US" w:eastAsia="zh-CN"/>
        </w:rPr>
      </w:pPr>
    </w:p>
    <w:p w14:paraId="3BF70E92">
      <w:pPr>
        <w:numPr>
          <w:ilvl w:val="0"/>
          <w:numId w:val="0"/>
        </w:numPr>
        <w:jc w:val="left"/>
        <w:rPr>
          <w:rFonts w:hint="eastAsia"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4、文化交流中心岗位安排表</w:t>
      </w:r>
    </w:p>
    <w:tbl>
      <w:tblPr>
        <w:tblStyle w:val="11"/>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205"/>
        <w:gridCol w:w="2125"/>
        <w:gridCol w:w="2125"/>
      </w:tblGrid>
      <w:tr w14:paraId="3EA2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62593F14">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205" w:type="dxa"/>
            <w:vAlign w:val="center"/>
          </w:tcPr>
          <w:p w14:paraId="6718521E">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25" w:type="dxa"/>
            <w:vAlign w:val="center"/>
          </w:tcPr>
          <w:p w14:paraId="33B090D8">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25" w:type="dxa"/>
            <w:vAlign w:val="center"/>
          </w:tcPr>
          <w:p w14:paraId="7A3E7D9B">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4E2C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43" w:type="dxa"/>
            <w:vAlign w:val="center"/>
          </w:tcPr>
          <w:p w14:paraId="0206136C">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3205" w:type="dxa"/>
            <w:vAlign w:val="center"/>
          </w:tcPr>
          <w:p w14:paraId="501A6225">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交流中心</w:t>
            </w:r>
            <w:r>
              <w:rPr>
                <w:rFonts w:hint="default" w:eastAsia="仿宋" w:cs="仿宋" w:asciiTheme="minorAscii" w:hAnsiTheme="minorAscii"/>
                <w:b w:val="0"/>
                <w:bCs w:val="0"/>
                <w:sz w:val="24"/>
                <w:szCs w:val="24"/>
                <w:vertAlign w:val="baseline"/>
                <w:lang w:val="en-US" w:eastAsia="zh-CN"/>
              </w:rPr>
              <w:t>门岗</w:t>
            </w:r>
          </w:p>
        </w:tc>
        <w:tc>
          <w:tcPr>
            <w:tcW w:w="2125" w:type="dxa"/>
            <w:vAlign w:val="center"/>
          </w:tcPr>
          <w:p w14:paraId="24DA22E6">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25" w:type="dxa"/>
            <w:vAlign w:val="center"/>
          </w:tcPr>
          <w:p w14:paraId="61A2C1BF">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5F72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498" w:type="dxa"/>
            <w:gridSpan w:val="4"/>
            <w:vAlign w:val="center"/>
          </w:tcPr>
          <w:p w14:paraId="21EFC875">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小计：</w:t>
            </w:r>
            <w:r>
              <w:rPr>
                <w:rFonts w:hint="eastAsia" w:eastAsia="仿宋" w:cs="仿宋" w:asciiTheme="minorAscii" w:hAnsiTheme="minorAscii"/>
                <w:b w:val="0"/>
                <w:bCs w:val="0"/>
                <w:sz w:val="24"/>
                <w:szCs w:val="24"/>
                <w:vertAlign w:val="baseline"/>
                <w:lang w:val="en-US" w:eastAsia="zh-CN"/>
              </w:rPr>
              <w:t>24小时岗位1个。</w:t>
            </w:r>
          </w:p>
        </w:tc>
      </w:tr>
    </w:tbl>
    <w:p w14:paraId="7BD295C8">
      <w:pPr>
        <w:numPr>
          <w:ilvl w:val="0"/>
          <w:numId w:val="0"/>
        </w:numPr>
        <w:ind w:leftChars="0"/>
        <w:jc w:val="left"/>
        <w:rPr>
          <w:rFonts w:hint="default" w:eastAsia="仿宋" w:cs="仿宋" w:asciiTheme="minorAscii" w:hAnsiTheme="minorAscii"/>
          <w:b w:val="0"/>
          <w:bCs w:val="0"/>
          <w:sz w:val="28"/>
          <w:szCs w:val="28"/>
          <w:lang w:val="en-US" w:eastAsia="zh-CN"/>
        </w:rPr>
      </w:pPr>
    </w:p>
    <w:p w14:paraId="3E135866">
      <w:pPr>
        <w:numPr>
          <w:ilvl w:val="0"/>
          <w:numId w:val="0"/>
        </w:numPr>
        <w:ind w:leftChars="0"/>
        <w:jc w:val="left"/>
        <w:rPr>
          <w:rFonts w:hint="default"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5、</w:t>
      </w:r>
      <w:r>
        <w:rPr>
          <w:rFonts w:hint="default" w:eastAsia="仿宋" w:cs="仿宋" w:asciiTheme="minorAscii" w:hAnsiTheme="minorAscii"/>
          <w:b/>
          <w:bCs/>
          <w:sz w:val="28"/>
          <w:szCs w:val="28"/>
          <w:lang w:val="en-US" w:eastAsia="zh-CN"/>
        </w:rPr>
        <w:t>游泳馆岗位安排表</w:t>
      </w:r>
    </w:p>
    <w:tbl>
      <w:tblPr>
        <w:tblStyle w:val="11"/>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3191"/>
        <w:gridCol w:w="2115"/>
        <w:gridCol w:w="2115"/>
      </w:tblGrid>
      <w:tr w14:paraId="7D7D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7" w:type="dxa"/>
            <w:vAlign w:val="center"/>
          </w:tcPr>
          <w:p w14:paraId="37A7CBB2">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191" w:type="dxa"/>
            <w:vAlign w:val="center"/>
          </w:tcPr>
          <w:p w14:paraId="25B1C0A9">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15" w:type="dxa"/>
            <w:vAlign w:val="center"/>
          </w:tcPr>
          <w:p w14:paraId="2F841977">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15" w:type="dxa"/>
            <w:vAlign w:val="center"/>
          </w:tcPr>
          <w:p w14:paraId="66BCD442">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510D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7" w:type="dxa"/>
            <w:vAlign w:val="center"/>
          </w:tcPr>
          <w:p w14:paraId="487590AE">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3191" w:type="dxa"/>
            <w:vAlign w:val="center"/>
          </w:tcPr>
          <w:p w14:paraId="3DB83BB1">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游泳馆开放</w:t>
            </w:r>
            <w:r>
              <w:rPr>
                <w:rFonts w:hint="default" w:eastAsia="仿宋" w:cs="仿宋" w:asciiTheme="minorAscii" w:hAnsiTheme="minorAscii"/>
                <w:b w:val="0"/>
                <w:bCs w:val="0"/>
                <w:sz w:val="24"/>
                <w:szCs w:val="24"/>
                <w:vertAlign w:val="baseline"/>
                <w:lang w:val="en-US" w:eastAsia="zh-CN"/>
              </w:rPr>
              <w:t>入口</w:t>
            </w:r>
          </w:p>
        </w:tc>
        <w:tc>
          <w:tcPr>
            <w:tcW w:w="2115" w:type="dxa"/>
            <w:vAlign w:val="center"/>
          </w:tcPr>
          <w:p w14:paraId="19F73BFB">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15" w:type="dxa"/>
            <w:vAlign w:val="center"/>
          </w:tcPr>
          <w:p w14:paraId="1C43C181">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4B56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7" w:type="dxa"/>
            <w:vAlign w:val="center"/>
          </w:tcPr>
          <w:p w14:paraId="23B6B6FF">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2</w:t>
            </w:r>
          </w:p>
        </w:tc>
        <w:tc>
          <w:tcPr>
            <w:tcW w:w="3191" w:type="dxa"/>
            <w:shd w:val="clear" w:color="auto" w:fill="auto"/>
            <w:vAlign w:val="center"/>
          </w:tcPr>
          <w:p w14:paraId="243F73A0">
            <w:pPr>
              <w:numPr>
                <w:ilvl w:val="0"/>
                <w:numId w:val="0"/>
              </w:numPr>
              <w:ind w:left="0" w:leftChars="0" w:firstLine="0" w:firstLineChars="0"/>
              <w:jc w:val="left"/>
              <w:rPr>
                <w:rFonts w:hint="default" w:eastAsia="仿宋" w:cs="仿宋" w:asciiTheme="minorAscii" w:hAnsiTheme="minorAscii"/>
                <w:b w:val="0"/>
                <w:bCs w:val="0"/>
                <w:kern w:val="2"/>
                <w:sz w:val="24"/>
                <w:szCs w:val="24"/>
                <w:vertAlign w:val="baseline"/>
                <w:lang w:val="en-US" w:eastAsia="zh-CN" w:bidi="ar-SA"/>
              </w:rPr>
            </w:pPr>
            <w:r>
              <w:rPr>
                <w:rFonts w:hint="eastAsia" w:eastAsia="仿宋" w:cs="仿宋" w:asciiTheme="minorAscii" w:hAnsiTheme="minorAscii"/>
                <w:b w:val="0"/>
                <w:bCs w:val="0"/>
                <w:sz w:val="24"/>
                <w:szCs w:val="24"/>
                <w:vertAlign w:val="baseline"/>
                <w:lang w:val="en-US" w:eastAsia="zh-CN"/>
              </w:rPr>
              <w:t>内场巡查（含网球）</w:t>
            </w:r>
          </w:p>
        </w:tc>
        <w:tc>
          <w:tcPr>
            <w:tcW w:w="2115" w:type="dxa"/>
            <w:shd w:val="clear" w:color="auto" w:fill="auto"/>
            <w:vAlign w:val="center"/>
          </w:tcPr>
          <w:p w14:paraId="4B908EFA">
            <w:pPr>
              <w:numPr>
                <w:ilvl w:val="0"/>
                <w:numId w:val="0"/>
              </w:numPr>
              <w:ind w:left="0" w:leftChars="0" w:firstLine="0" w:firstLineChars="0"/>
              <w:jc w:val="left"/>
              <w:rPr>
                <w:rFonts w:hint="default" w:eastAsia="仿宋" w:cs="仿宋" w:asciiTheme="minorAscii" w:hAnsiTheme="minorAscii"/>
                <w:b w:val="0"/>
                <w:bCs w:val="0"/>
                <w:kern w:val="2"/>
                <w:sz w:val="24"/>
                <w:szCs w:val="24"/>
                <w:vertAlign w:val="baseline"/>
                <w:lang w:val="en-US" w:eastAsia="zh-CN" w:bidi="ar-SA"/>
              </w:rPr>
            </w:pPr>
            <w:r>
              <w:rPr>
                <w:rFonts w:hint="eastAsia" w:eastAsia="仿宋" w:cs="仿宋" w:asciiTheme="minorAscii" w:hAnsiTheme="minorAscii"/>
                <w:b w:val="0"/>
                <w:bCs w:val="0"/>
                <w:sz w:val="24"/>
                <w:szCs w:val="24"/>
                <w:vertAlign w:val="baseline"/>
                <w:lang w:val="en-US" w:eastAsia="zh-CN"/>
              </w:rPr>
              <w:t>1</w:t>
            </w:r>
          </w:p>
        </w:tc>
        <w:tc>
          <w:tcPr>
            <w:tcW w:w="2115" w:type="dxa"/>
            <w:vAlign w:val="center"/>
          </w:tcPr>
          <w:p w14:paraId="008680EB">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0EA8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458" w:type="dxa"/>
            <w:gridSpan w:val="4"/>
            <w:vAlign w:val="center"/>
          </w:tcPr>
          <w:p w14:paraId="41120D62">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小计：</w:t>
            </w:r>
            <w:r>
              <w:rPr>
                <w:rFonts w:hint="default" w:eastAsia="仿宋" w:cs="仿宋" w:asciiTheme="minorAscii" w:hAnsiTheme="minorAscii"/>
                <w:b w:val="0"/>
                <w:bCs w:val="0"/>
                <w:sz w:val="24"/>
                <w:szCs w:val="24"/>
                <w:vertAlign w:val="baseline"/>
                <w:lang w:val="en-US" w:eastAsia="zh-CN"/>
              </w:rPr>
              <w:t>24小时岗位</w:t>
            </w:r>
            <w:r>
              <w:rPr>
                <w:rFonts w:hint="eastAsia" w:eastAsia="仿宋" w:cs="仿宋" w:asciiTheme="minorAscii" w:hAnsiTheme="minorAscii"/>
                <w:b w:val="0"/>
                <w:bCs w:val="0"/>
                <w:sz w:val="24"/>
                <w:szCs w:val="24"/>
                <w:vertAlign w:val="baseline"/>
                <w:lang w:val="en-US" w:eastAsia="zh-CN"/>
              </w:rPr>
              <w:t>2个。</w:t>
            </w:r>
          </w:p>
        </w:tc>
      </w:tr>
    </w:tbl>
    <w:p w14:paraId="5FC0FA82">
      <w:pPr>
        <w:numPr>
          <w:ilvl w:val="0"/>
          <w:numId w:val="0"/>
        </w:numPr>
        <w:jc w:val="left"/>
        <w:rPr>
          <w:rFonts w:hint="eastAsia" w:eastAsia="仿宋" w:cs="仿宋" w:asciiTheme="minorAscii" w:hAnsiTheme="minorAscii"/>
          <w:b/>
          <w:bCs/>
          <w:sz w:val="28"/>
          <w:szCs w:val="28"/>
          <w:lang w:val="en-US" w:eastAsia="zh-CN"/>
        </w:rPr>
      </w:pPr>
    </w:p>
    <w:p w14:paraId="07046DAB">
      <w:pPr>
        <w:rPr>
          <w:rFonts w:hint="eastAsia"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br w:type="page"/>
      </w:r>
    </w:p>
    <w:p w14:paraId="6F2AC2EF">
      <w:pPr>
        <w:numPr>
          <w:ilvl w:val="0"/>
          <w:numId w:val="0"/>
        </w:numPr>
        <w:jc w:val="left"/>
        <w:rPr>
          <w:rFonts w:hint="default" w:eastAsia="仿宋" w:cs="仿宋" w:asciiTheme="minorAscii" w:hAnsiTheme="minorAscii"/>
          <w:b/>
          <w:bCs/>
          <w:sz w:val="28"/>
          <w:szCs w:val="28"/>
          <w:lang w:val="en-US" w:eastAsia="zh-CN"/>
        </w:rPr>
      </w:pPr>
      <w:r>
        <w:rPr>
          <w:rFonts w:hint="eastAsia" w:eastAsia="仿宋" w:cs="仿宋" w:asciiTheme="minorAscii" w:hAnsiTheme="minorAscii"/>
          <w:b/>
          <w:bCs/>
          <w:sz w:val="28"/>
          <w:szCs w:val="28"/>
          <w:lang w:val="en-US" w:eastAsia="zh-CN"/>
        </w:rPr>
        <w:t>6、</w:t>
      </w:r>
      <w:r>
        <w:rPr>
          <w:rFonts w:hint="default" w:eastAsia="仿宋" w:cs="仿宋" w:asciiTheme="minorAscii" w:hAnsiTheme="minorAscii"/>
          <w:b/>
          <w:bCs/>
          <w:sz w:val="28"/>
          <w:szCs w:val="28"/>
          <w:lang w:val="en-US" w:eastAsia="zh-CN"/>
        </w:rPr>
        <w:t>网球馆岗位安排表</w:t>
      </w:r>
    </w:p>
    <w:tbl>
      <w:tblPr>
        <w:tblStyle w:val="11"/>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3248"/>
        <w:gridCol w:w="2140"/>
        <w:gridCol w:w="2140"/>
      </w:tblGrid>
      <w:tr w14:paraId="6805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30" w:type="dxa"/>
            <w:vAlign w:val="center"/>
          </w:tcPr>
          <w:p w14:paraId="768BE08E">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序号</w:t>
            </w:r>
          </w:p>
        </w:tc>
        <w:tc>
          <w:tcPr>
            <w:tcW w:w="3248" w:type="dxa"/>
            <w:vAlign w:val="center"/>
          </w:tcPr>
          <w:p w14:paraId="1D97FE85">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岗位名称</w:t>
            </w:r>
          </w:p>
        </w:tc>
        <w:tc>
          <w:tcPr>
            <w:tcW w:w="2140" w:type="dxa"/>
            <w:vAlign w:val="center"/>
          </w:tcPr>
          <w:p w14:paraId="2FC23376">
            <w:pPr>
              <w:numPr>
                <w:ilvl w:val="0"/>
                <w:numId w:val="0"/>
              </w:numPr>
              <w:jc w:val="center"/>
              <w:rPr>
                <w:rFonts w:hint="default" w:eastAsia="仿宋" w:cs="仿宋" w:asciiTheme="minorAscii" w:hAnsiTheme="minorAscii"/>
                <w:b/>
                <w:bCs/>
                <w:sz w:val="24"/>
                <w:szCs w:val="24"/>
                <w:vertAlign w:val="baseline"/>
                <w:lang w:val="en-US" w:eastAsia="zh-CN"/>
              </w:rPr>
            </w:pPr>
            <w:r>
              <w:rPr>
                <w:rFonts w:hint="eastAsia" w:eastAsia="仿宋" w:cs="仿宋" w:asciiTheme="minorAscii" w:hAnsiTheme="minorAscii"/>
                <w:b/>
                <w:bCs/>
                <w:sz w:val="24"/>
                <w:szCs w:val="24"/>
                <w:vertAlign w:val="baseline"/>
                <w:lang w:val="en-US" w:eastAsia="zh-CN"/>
              </w:rPr>
              <w:t>数量</w:t>
            </w:r>
          </w:p>
        </w:tc>
        <w:tc>
          <w:tcPr>
            <w:tcW w:w="2140" w:type="dxa"/>
            <w:vAlign w:val="center"/>
          </w:tcPr>
          <w:p w14:paraId="40A27ADA">
            <w:pPr>
              <w:numPr>
                <w:ilvl w:val="0"/>
                <w:numId w:val="0"/>
              </w:numPr>
              <w:jc w:val="center"/>
              <w:rPr>
                <w:rFonts w:hint="default" w:eastAsia="仿宋" w:cs="仿宋" w:asciiTheme="minorAscii" w:hAnsiTheme="minorAscii"/>
                <w:b/>
                <w:bCs/>
                <w:sz w:val="24"/>
                <w:szCs w:val="24"/>
                <w:vertAlign w:val="baseline"/>
                <w:lang w:val="en-US" w:eastAsia="zh-CN"/>
              </w:rPr>
            </w:pPr>
            <w:r>
              <w:rPr>
                <w:rFonts w:hint="default" w:eastAsia="仿宋" w:cs="仿宋" w:asciiTheme="minorAscii" w:hAnsiTheme="minorAscii"/>
                <w:b/>
                <w:bCs/>
                <w:sz w:val="24"/>
                <w:szCs w:val="24"/>
                <w:vertAlign w:val="baseline"/>
                <w:lang w:val="en-US" w:eastAsia="zh-CN"/>
              </w:rPr>
              <w:t>备注</w:t>
            </w:r>
          </w:p>
        </w:tc>
      </w:tr>
      <w:tr w14:paraId="6964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030" w:type="dxa"/>
            <w:vAlign w:val="center"/>
          </w:tcPr>
          <w:p w14:paraId="42C21761">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1</w:t>
            </w:r>
          </w:p>
        </w:tc>
        <w:tc>
          <w:tcPr>
            <w:tcW w:w="3248" w:type="dxa"/>
            <w:vAlign w:val="center"/>
          </w:tcPr>
          <w:p w14:paraId="6390C416">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西北门</w:t>
            </w:r>
          </w:p>
        </w:tc>
        <w:tc>
          <w:tcPr>
            <w:tcW w:w="2140" w:type="dxa"/>
            <w:vAlign w:val="center"/>
          </w:tcPr>
          <w:p w14:paraId="11C808A3">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40" w:type="dxa"/>
            <w:vAlign w:val="center"/>
          </w:tcPr>
          <w:p w14:paraId="752A900F">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474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030" w:type="dxa"/>
            <w:vAlign w:val="center"/>
          </w:tcPr>
          <w:p w14:paraId="60A7A8F8">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eastAsia" w:eastAsia="仿宋" w:cs="仿宋" w:asciiTheme="minorAscii" w:hAnsiTheme="minorAscii"/>
                <w:b w:val="0"/>
                <w:bCs w:val="0"/>
                <w:sz w:val="24"/>
                <w:szCs w:val="24"/>
                <w:vertAlign w:val="baseline"/>
                <w:lang w:val="en-US" w:eastAsia="zh-CN"/>
              </w:rPr>
              <w:t>3</w:t>
            </w:r>
          </w:p>
        </w:tc>
        <w:tc>
          <w:tcPr>
            <w:tcW w:w="3248" w:type="dxa"/>
            <w:vAlign w:val="center"/>
          </w:tcPr>
          <w:p w14:paraId="0048CFDC">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网球办公区</w:t>
            </w:r>
          </w:p>
        </w:tc>
        <w:tc>
          <w:tcPr>
            <w:tcW w:w="2140" w:type="dxa"/>
            <w:vAlign w:val="center"/>
          </w:tcPr>
          <w:p w14:paraId="74BB16DE">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1</w:t>
            </w:r>
          </w:p>
        </w:tc>
        <w:tc>
          <w:tcPr>
            <w:tcW w:w="2140" w:type="dxa"/>
            <w:vAlign w:val="center"/>
          </w:tcPr>
          <w:p w14:paraId="370C9984">
            <w:pPr>
              <w:numPr>
                <w:ilvl w:val="0"/>
                <w:numId w:val="0"/>
              </w:numPr>
              <w:jc w:val="left"/>
              <w:rPr>
                <w:rFonts w:hint="default" w:eastAsia="仿宋" w:cs="仿宋" w:asciiTheme="minorAscii" w:hAnsiTheme="minorAscii"/>
                <w:b w:val="0"/>
                <w:bCs w:val="0"/>
                <w:sz w:val="24"/>
                <w:szCs w:val="24"/>
                <w:vertAlign w:val="baseline"/>
                <w:lang w:val="en-US" w:eastAsia="zh-CN"/>
              </w:rPr>
            </w:pPr>
          </w:p>
        </w:tc>
      </w:tr>
      <w:tr w14:paraId="10E1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558" w:type="dxa"/>
            <w:gridSpan w:val="4"/>
            <w:vAlign w:val="center"/>
          </w:tcPr>
          <w:p w14:paraId="13C3FCD0">
            <w:pPr>
              <w:numPr>
                <w:ilvl w:val="0"/>
                <w:numId w:val="0"/>
              </w:numPr>
              <w:jc w:val="left"/>
              <w:rPr>
                <w:rFonts w:hint="default" w:eastAsia="仿宋" w:cs="仿宋" w:asciiTheme="minorAscii" w:hAnsiTheme="minorAscii"/>
                <w:b w:val="0"/>
                <w:bCs w:val="0"/>
                <w:sz w:val="24"/>
                <w:szCs w:val="24"/>
                <w:vertAlign w:val="baseline"/>
                <w:lang w:val="en-US" w:eastAsia="zh-CN"/>
              </w:rPr>
            </w:pPr>
            <w:r>
              <w:rPr>
                <w:rFonts w:hint="default" w:eastAsia="仿宋" w:cs="仿宋" w:asciiTheme="minorAscii" w:hAnsiTheme="minorAscii"/>
                <w:b w:val="0"/>
                <w:bCs w:val="0"/>
                <w:sz w:val="24"/>
                <w:szCs w:val="24"/>
                <w:vertAlign w:val="baseline"/>
                <w:lang w:val="en-US" w:eastAsia="zh-CN"/>
              </w:rPr>
              <w:t>小计：24小时岗位</w:t>
            </w:r>
            <w:r>
              <w:rPr>
                <w:rFonts w:hint="eastAsia" w:eastAsia="仿宋" w:cs="仿宋" w:asciiTheme="minorAscii" w:hAnsiTheme="minorAscii"/>
                <w:b w:val="0"/>
                <w:bCs w:val="0"/>
                <w:sz w:val="24"/>
                <w:szCs w:val="24"/>
                <w:vertAlign w:val="baseline"/>
                <w:lang w:val="en-US" w:eastAsia="zh-CN"/>
              </w:rPr>
              <w:t>2个</w:t>
            </w:r>
            <w:r>
              <w:rPr>
                <w:rFonts w:hint="default" w:eastAsia="仿宋" w:cs="仿宋" w:asciiTheme="minorAscii" w:hAnsiTheme="minorAscii"/>
                <w:b w:val="0"/>
                <w:bCs w:val="0"/>
                <w:sz w:val="24"/>
                <w:szCs w:val="24"/>
                <w:vertAlign w:val="baseline"/>
                <w:lang w:val="en-US" w:eastAsia="zh-CN"/>
              </w:rPr>
              <w:t>。</w:t>
            </w:r>
          </w:p>
        </w:tc>
      </w:tr>
    </w:tbl>
    <w:p w14:paraId="348525F1">
      <w:pPr>
        <w:numPr>
          <w:ilvl w:val="0"/>
          <w:numId w:val="0"/>
        </w:numPr>
        <w:ind w:leftChars="0"/>
        <w:jc w:val="left"/>
        <w:rPr>
          <w:rFonts w:hint="default" w:eastAsia="仿宋" w:cs="仿宋" w:asciiTheme="minorAscii" w:hAnsiTheme="minorAscii"/>
          <w:b w:val="0"/>
          <w:bCs w:val="0"/>
          <w:sz w:val="24"/>
          <w:szCs w:val="24"/>
          <w:lang w:val="en-US" w:eastAsia="zh-CN"/>
        </w:rPr>
      </w:pPr>
    </w:p>
    <w:p w14:paraId="44F8A03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小计：24小时岗位18个（54人次），16小时岗位7个（14人次），10小时岗位2个（2人次，此岗位月休4天，单价不变），合计29个岗共70人次（不含项目现场负责人，且未考虑篮球场开放及驿站门岗）。</w:t>
      </w:r>
    </w:p>
    <w:p w14:paraId="32B9251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both"/>
        <w:textAlignment w:val="auto"/>
        <w:rPr>
          <w:rFonts w:hint="eastAsia" w:ascii="仿宋_GB2312" w:hAnsi="仿宋_GB2312" w:eastAsia="仿宋_GB2312" w:cs="仿宋_GB2312"/>
          <w:b w:val="0"/>
          <w:bCs w:val="0"/>
          <w:sz w:val="32"/>
          <w:szCs w:val="32"/>
          <w:lang w:val="en-US" w:eastAsia="zh-CN"/>
        </w:rPr>
      </w:pPr>
    </w:p>
    <w:p w14:paraId="1A6B2488">
      <w:pPr>
        <w:numPr>
          <w:ilvl w:val="0"/>
          <w:numId w:val="1"/>
        </w:numPr>
        <w:ind w:left="420" w:leftChars="0" w:hanging="420" w:firstLineChars="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岗位单价（8小时制）：0.72万元/月</w:t>
      </w:r>
    </w:p>
    <w:p w14:paraId="3390DA98">
      <w:pPr>
        <w:numPr>
          <w:ilvl w:val="0"/>
          <w:numId w:val="1"/>
        </w:numPr>
        <w:ind w:left="420" w:leftChars="0" w:hanging="420" w:firstLineChars="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岗位人数（不含休）：70人</w:t>
      </w:r>
    </w:p>
    <w:p w14:paraId="671CE7A5">
      <w:pPr>
        <w:numPr>
          <w:ilvl w:val="0"/>
          <w:numId w:val="1"/>
        </w:numPr>
        <w:ind w:left="420" w:leftChars="0" w:hanging="420" w:firstLineChars="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项目负责人单价：15万元/年</w:t>
      </w:r>
    </w:p>
    <w:p w14:paraId="0E1D70B7">
      <w:pPr>
        <w:numPr>
          <w:ilvl w:val="0"/>
          <w:numId w:val="1"/>
        </w:numPr>
        <w:ind w:left="420" w:leftChars="0" w:hanging="420" w:firstLineChars="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月均日常费用：51.65万元</w:t>
      </w:r>
    </w:p>
    <w:p w14:paraId="4D6ECEC8">
      <w:pPr>
        <w:numPr>
          <w:ilvl w:val="0"/>
          <w:numId w:val="1"/>
        </w:numPr>
        <w:ind w:left="420" w:leftChars="0" w:hanging="420" w:firstLineChars="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活动</w:t>
      </w:r>
      <w:r>
        <w:rPr>
          <w:rFonts w:hint="default" w:ascii="仿宋_GB2312" w:hAnsi="仿宋_GB2312" w:eastAsia="仿宋_GB2312" w:cs="仿宋_GB2312"/>
          <w:b w:val="0"/>
          <w:bCs w:val="0"/>
          <w:sz w:val="32"/>
          <w:szCs w:val="32"/>
          <w:lang w:val="en-US" w:eastAsia="zh-CN"/>
        </w:rPr>
        <w:t>临时增派日结费用（8小时）</w:t>
      </w:r>
      <w:r>
        <w:rPr>
          <w:rFonts w:hint="eastAsia" w:ascii="仿宋_GB2312" w:hAnsi="仿宋_GB2312" w:eastAsia="仿宋_GB2312" w:cs="仿宋_GB2312"/>
          <w:b w:val="0"/>
          <w:bCs w:val="0"/>
          <w:sz w:val="32"/>
          <w:szCs w:val="32"/>
          <w:lang w:val="en-US" w:eastAsia="zh-CN"/>
        </w:rPr>
        <w:t>：320元/天</w:t>
      </w:r>
    </w:p>
    <w:p w14:paraId="5407A469">
      <w:pPr>
        <w:numPr>
          <w:ilvl w:val="0"/>
          <w:numId w:val="1"/>
        </w:numPr>
        <w:ind w:left="420" w:leftChars="0" w:hanging="420" w:firstLineChars="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年均（30场次）</w:t>
      </w:r>
      <w:r>
        <w:rPr>
          <w:rFonts w:hint="default" w:ascii="仿宋_GB2312" w:hAnsi="仿宋_GB2312" w:eastAsia="仿宋_GB2312" w:cs="仿宋_GB2312"/>
          <w:b w:val="0"/>
          <w:bCs w:val="0"/>
          <w:sz w:val="32"/>
          <w:szCs w:val="32"/>
          <w:lang w:val="en-US" w:eastAsia="zh-CN"/>
        </w:rPr>
        <w:t>大型活动增派费用</w:t>
      </w:r>
      <w:r>
        <w:rPr>
          <w:rFonts w:hint="eastAsia" w:ascii="仿宋_GB2312" w:hAnsi="仿宋_GB2312" w:eastAsia="仿宋_GB2312" w:cs="仿宋_GB2312"/>
          <w:b w:val="0"/>
          <w:bCs w:val="0"/>
          <w:sz w:val="32"/>
          <w:szCs w:val="32"/>
          <w:lang w:val="en-US" w:eastAsia="zh-CN"/>
        </w:rPr>
        <w:t>：19.2万元</w:t>
      </w:r>
    </w:p>
    <w:p w14:paraId="7D658159">
      <w:pPr>
        <w:numPr>
          <w:ilvl w:val="0"/>
          <w:numId w:val="1"/>
        </w:numPr>
        <w:ind w:left="420" w:leftChars="0" w:hanging="420" w:firstLineChars="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年度费用639万元，两年总费用1278万元</w:t>
      </w:r>
    </w:p>
    <w:p w14:paraId="092C3117">
      <w:pPr>
        <w:spacing w:line="360" w:lineRule="auto"/>
        <w:ind w:firstLine="641"/>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altName w:val="宋体"/>
    <w:panose1 w:val="02000500000000000000"/>
    <w:charset w:val="86"/>
    <w:family w:val="auto"/>
    <w:pitch w:val="default"/>
    <w:sig w:usb0="00000000" w:usb1="00000000"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0426438"/>
      <w:docPartObj>
        <w:docPartGallery w:val="autotext"/>
      </w:docPartObj>
    </w:sdtPr>
    <w:sdtContent>
      <w:p w14:paraId="5F7EDF9E">
        <w:pPr>
          <w:pStyle w:val="7"/>
          <w:jc w:val="center"/>
        </w:pPr>
        <w:r>
          <w:fldChar w:fldCharType="begin"/>
        </w:r>
        <w:r>
          <w:instrText xml:space="preserve">PAGE   \* MERGEFORMAT</w:instrText>
        </w:r>
        <w:r>
          <w:fldChar w:fldCharType="separate"/>
        </w:r>
        <w:r>
          <w:rPr>
            <w:lang w:val="zh-CN"/>
          </w:rPr>
          <w:t>12</w:t>
        </w:r>
        <w:r>
          <w:fldChar w:fldCharType="end"/>
        </w:r>
      </w:p>
    </w:sdtContent>
  </w:sdt>
  <w:p w14:paraId="5E1504F3">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C534F">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2993A">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29F51">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AF1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AF59E">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3C83F"/>
    <w:multiLevelType w:val="singleLevel"/>
    <w:tmpl w:val="8053C83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3AB"/>
    <w:rsid w:val="00000A50"/>
    <w:rsid w:val="0001332C"/>
    <w:rsid w:val="0003210D"/>
    <w:rsid w:val="00046047"/>
    <w:rsid w:val="00050758"/>
    <w:rsid w:val="0005189B"/>
    <w:rsid w:val="000579E5"/>
    <w:rsid w:val="00061BE6"/>
    <w:rsid w:val="00062341"/>
    <w:rsid w:val="00062F55"/>
    <w:rsid w:val="0008437A"/>
    <w:rsid w:val="00091CDF"/>
    <w:rsid w:val="00091E32"/>
    <w:rsid w:val="0009576C"/>
    <w:rsid w:val="000A2017"/>
    <w:rsid w:val="000A244C"/>
    <w:rsid w:val="000A63A9"/>
    <w:rsid w:val="000B72E6"/>
    <w:rsid w:val="000C10B8"/>
    <w:rsid w:val="000D470E"/>
    <w:rsid w:val="000E317B"/>
    <w:rsid w:val="000E3F01"/>
    <w:rsid w:val="000F5CF9"/>
    <w:rsid w:val="00100118"/>
    <w:rsid w:val="00117D99"/>
    <w:rsid w:val="00120D8C"/>
    <w:rsid w:val="00136B3F"/>
    <w:rsid w:val="001408F4"/>
    <w:rsid w:val="0014119A"/>
    <w:rsid w:val="00145F30"/>
    <w:rsid w:val="00151DFC"/>
    <w:rsid w:val="0016001A"/>
    <w:rsid w:val="0017060C"/>
    <w:rsid w:val="00174B2B"/>
    <w:rsid w:val="00180AC0"/>
    <w:rsid w:val="00187072"/>
    <w:rsid w:val="00192CC2"/>
    <w:rsid w:val="001930A8"/>
    <w:rsid w:val="001B0C25"/>
    <w:rsid w:val="001C2817"/>
    <w:rsid w:val="001D2312"/>
    <w:rsid w:val="001D415D"/>
    <w:rsid w:val="001D5A5E"/>
    <w:rsid w:val="001E16D0"/>
    <w:rsid w:val="002140EE"/>
    <w:rsid w:val="00220804"/>
    <w:rsid w:val="00224777"/>
    <w:rsid w:val="002443AB"/>
    <w:rsid w:val="00251AFE"/>
    <w:rsid w:val="00262015"/>
    <w:rsid w:val="00272D2A"/>
    <w:rsid w:val="0028717C"/>
    <w:rsid w:val="00290F1A"/>
    <w:rsid w:val="002A219A"/>
    <w:rsid w:val="002A4B37"/>
    <w:rsid w:val="002A6698"/>
    <w:rsid w:val="002B7B07"/>
    <w:rsid w:val="002C39FD"/>
    <w:rsid w:val="002F129C"/>
    <w:rsid w:val="002F7F54"/>
    <w:rsid w:val="003067F2"/>
    <w:rsid w:val="00323384"/>
    <w:rsid w:val="003258AA"/>
    <w:rsid w:val="003420B7"/>
    <w:rsid w:val="003463FF"/>
    <w:rsid w:val="00351DCC"/>
    <w:rsid w:val="003646A6"/>
    <w:rsid w:val="00365A1C"/>
    <w:rsid w:val="00382D90"/>
    <w:rsid w:val="003A6E59"/>
    <w:rsid w:val="003A7840"/>
    <w:rsid w:val="003B5BA6"/>
    <w:rsid w:val="003C169F"/>
    <w:rsid w:val="003C4CBB"/>
    <w:rsid w:val="003E29FA"/>
    <w:rsid w:val="003F2439"/>
    <w:rsid w:val="00401D71"/>
    <w:rsid w:val="0040314C"/>
    <w:rsid w:val="00403609"/>
    <w:rsid w:val="00404223"/>
    <w:rsid w:val="00405597"/>
    <w:rsid w:val="004063EC"/>
    <w:rsid w:val="00407E99"/>
    <w:rsid w:val="00410310"/>
    <w:rsid w:val="00412109"/>
    <w:rsid w:val="0042253F"/>
    <w:rsid w:val="00450FFE"/>
    <w:rsid w:val="00451674"/>
    <w:rsid w:val="00451720"/>
    <w:rsid w:val="00454437"/>
    <w:rsid w:val="004649EE"/>
    <w:rsid w:val="00473DD2"/>
    <w:rsid w:val="00486A7B"/>
    <w:rsid w:val="00497D62"/>
    <w:rsid w:val="004A3239"/>
    <w:rsid w:val="004A3358"/>
    <w:rsid w:val="004A533B"/>
    <w:rsid w:val="004A5621"/>
    <w:rsid w:val="004A5EB2"/>
    <w:rsid w:val="004B0232"/>
    <w:rsid w:val="004B023E"/>
    <w:rsid w:val="004B3772"/>
    <w:rsid w:val="004B534D"/>
    <w:rsid w:val="004D7AE7"/>
    <w:rsid w:val="004E26A7"/>
    <w:rsid w:val="004E3304"/>
    <w:rsid w:val="004F64D1"/>
    <w:rsid w:val="004F6B86"/>
    <w:rsid w:val="0050102E"/>
    <w:rsid w:val="00522F03"/>
    <w:rsid w:val="00524BBD"/>
    <w:rsid w:val="00554D8A"/>
    <w:rsid w:val="00560A09"/>
    <w:rsid w:val="005646D1"/>
    <w:rsid w:val="005729C4"/>
    <w:rsid w:val="00575224"/>
    <w:rsid w:val="00575C8B"/>
    <w:rsid w:val="00581E5C"/>
    <w:rsid w:val="005848F5"/>
    <w:rsid w:val="00590CD7"/>
    <w:rsid w:val="005935A2"/>
    <w:rsid w:val="005A5267"/>
    <w:rsid w:val="005B0886"/>
    <w:rsid w:val="005C3B87"/>
    <w:rsid w:val="005C52EC"/>
    <w:rsid w:val="005C6445"/>
    <w:rsid w:val="005D69E9"/>
    <w:rsid w:val="005D6F54"/>
    <w:rsid w:val="005E0C6F"/>
    <w:rsid w:val="005E57C5"/>
    <w:rsid w:val="005F105E"/>
    <w:rsid w:val="0061066C"/>
    <w:rsid w:val="00612993"/>
    <w:rsid w:val="00622CE9"/>
    <w:rsid w:val="006256F3"/>
    <w:rsid w:val="006264DA"/>
    <w:rsid w:val="00626977"/>
    <w:rsid w:val="006274E6"/>
    <w:rsid w:val="006316E1"/>
    <w:rsid w:val="00632E2A"/>
    <w:rsid w:val="006473AC"/>
    <w:rsid w:val="00656657"/>
    <w:rsid w:val="00664AE3"/>
    <w:rsid w:val="0067474F"/>
    <w:rsid w:val="0067606A"/>
    <w:rsid w:val="00676DA3"/>
    <w:rsid w:val="006809B3"/>
    <w:rsid w:val="00680E4F"/>
    <w:rsid w:val="00684420"/>
    <w:rsid w:val="00685782"/>
    <w:rsid w:val="00693372"/>
    <w:rsid w:val="00694044"/>
    <w:rsid w:val="006A4A7E"/>
    <w:rsid w:val="006A71DB"/>
    <w:rsid w:val="006B3642"/>
    <w:rsid w:val="006C0F7E"/>
    <w:rsid w:val="006D3BF9"/>
    <w:rsid w:val="006E15AE"/>
    <w:rsid w:val="006F6647"/>
    <w:rsid w:val="007032CC"/>
    <w:rsid w:val="00712A18"/>
    <w:rsid w:val="00713CD2"/>
    <w:rsid w:val="00733DCC"/>
    <w:rsid w:val="00734B53"/>
    <w:rsid w:val="007360B4"/>
    <w:rsid w:val="007437A9"/>
    <w:rsid w:val="00753DC8"/>
    <w:rsid w:val="00763E36"/>
    <w:rsid w:val="00764CFF"/>
    <w:rsid w:val="00783641"/>
    <w:rsid w:val="0078525A"/>
    <w:rsid w:val="00790D81"/>
    <w:rsid w:val="00792BE3"/>
    <w:rsid w:val="00792F80"/>
    <w:rsid w:val="00793C34"/>
    <w:rsid w:val="007A146C"/>
    <w:rsid w:val="007A181E"/>
    <w:rsid w:val="007C3BD1"/>
    <w:rsid w:val="007C6B66"/>
    <w:rsid w:val="007D4814"/>
    <w:rsid w:val="007D557A"/>
    <w:rsid w:val="007D59E4"/>
    <w:rsid w:val="007E28DE"/>
    <w:rsid w:val="007F00A2"/>
    <w:rsid w:val="00820095"/>
    <w:rsid w:val="00825B46"/>
    <w:rsid w:val="00836C7F"/>
    <w:rsid w:val="008413EF"/>
    <w:rsid w:val="00846E0D"/>
    <w:rsid w:val="00876D68"/>
    <w:rsid w:val="0089493B"/>
    <w:rsid w:val="008A0C3E"/>
    <w:rsid w:val="008A58EE"/>
    <w:rsid w:val="008A6BD6"/>
    <w:rsid w:val="008A7871"/>
    <w:rsid w:val="008B2886"/>
    <w:rsid w:val="008B4857"/>
    <w:rsid w:val="008D5E84"/>
    <w:rsid w:val="008D6C88"/>
    <w:rsid w:val="008E1008"/>
    <w:rsid w:val="008E7427"/>
    <w:rsid w:val="008F0F4A"/>
    <w:rsid w:val="009077C2"/>
    <w:rsid w:val="0091471A"/>
    <w:rsid w:val="00915609"/>
    <w:rsid w:val="00934B58"/>
    <w:rsid w:val="00954B98"/>
    <w:rsid w:val="00961B55"/>
    <w:rsid w:val="00970BC2"/>
    <w:rsid w:val="00976E33"/>
    <w:rsid w:val="009902C5"/>
    <w:rsid w:val="009945AD"/>
    <w:rsid w:val="009951A6"/>
    <w:rsid w:val="009A2618"/>
    <w:rsid w:val="009B12B6"/>
    <w:rsid w:val="009B1482"/>
    <w:rsid w:val="009B691A"/>
    <w:rsid w:val="009C52CB"/>
    <w:rsid w:val="009D5178"/>
    <w:rsid w:val="009D5A7E"/>
    <w:rsid w:val="009E4560"/>
    <w:rsid w:val="009E4E0F"/>
    <w:rsid w:val="009F3923"/>
    <w:rsid w:val="00A005D6"/>
    <w:rsid w:val="00A02D6B"/>
    <w:rsid w:val="00A077CF"/>
    <w:rsid w:val="00A12BD5"/>
    <w:rsid w:val="00A207D4"/>
    <w:rsid w:val="00A2324D"/>
    <w:rsid w:val="00A41AF4"/>
    <w:rsid w:val="00A44FFD"/>
    <w:rsid w:val="00A5621B"/>
    <w:rsid w:val="00A637C8"/>
    <w:rsid w:val="00A70C41"/>
    <w:rsid w:val="00A73B7F"/>
    <w:rsid w:val="00A74255"/>
    <w:rsid w:val="00AA7F5D"/>
    <w:rsid w:val="00AB1A19"/>
    <w:rsid w:val="00AB3F06"/>
    <w:rsid w:val="00AB4073"/>
    <w:rsid w:val="00AB694A"/>
    <w:rsid w:val="00AC4CFC"/>
    <w:rsid w:val="00AC507B"/>
    <w:rsid w:val="00AC5A11"/>
    <w:rsid w:val="00AC6B7B"/>
    <w:rsid w:val="00AD4D57"/>
    <w:rsid w:val="00AE0A8D"/>
    <w:rsid w:val="00AF418C"/>
    <w:rsid w:val="00B0642C"/>
    <w:rsid w:val="00B22B3D"/>
    <w:rsid w:val="00B25180"/>
    <w:rsid w:val="00B411D5"/>
    <w:rsid w:val="00B41796"/>
    <w:rsid w:val="00B4758E"/>
    <w:rsid w:val="00B520AB"/>
    <w:rsid w:val="00B52344"/>
    <w:rsid w:val="00B532F2"/>
    <w:rsid w:val="00B56AB9"/>
    <w:rsid w:val="00B579C8"/>
    <w:rsid w:val="00B646DA"/>
    <w:rsid w:val="00B70E75"/>
    <w:rsid w:val="00B7176D"/>
    <w:rsid w:val="00B77707"/>
    <w:rsid w:val="00B85C13"/>
    <w:rsid w:val="00B9416E"/>
    <w:rsid w:val="00BB25F2"/>
    <w:rsid w:val="00BB363D"/>
    <w:rsid w:val="00BB40F7"/>
    <w:rsid w:val="00BD4A89"/>
    <w:rsid w:val="00BD6F3D"/>
    <w:rsid w:val="00BE00FD"/>
    <w:rsid w:val="00BE2260"/>
    <w:rsid w:val="00BE2936"/>
    <w:rsid w:val="00BE630D"/>
    <w:rsid w:val="00BF136F"/>
    <w:rsid w:val="00C00A42"/>
    <w:rsid w:val="00C06D54"/>
    <w:rsid w:val="00C17932"/>
    <w:rsid w:val="00C23904"/>
    <w:rsid w:val="00C362FC"/>
    <w:rsid w:val="00C43B1D"/>
    <w:rsid w:val="00C44C0D"/>
    <w:rsid w:val="00C62E42"/>
    <w:rsid w:val="00CA4610"/>
    <w:rsid w:val="00CA5EB2"/>
    <w:rsid w:val="00D00765"/>
    <w:rsid w:val="00D028FE"/>
    <w:rsid w:val="00D12FB9"/>
    <w:rsid w:val="00D2781A"/>
    <w:rsid w:val="00D30CCD"/>
    <w:rsid w:val="00D31758"/>
    <w:rsid w:val="00D31BA9"/>
    <w:rsid w:val="00D34787"/>
    <w:rsid w:val="00D37587"/>
    <w:rsid w:val="00D511FD"/>
    <w:rsid w:val="00D5319B"/>
    <w:rsid w:val="00D56E76"/>
    <w:rsid w:val="00D56F4E"/>
    <w:rsid w:val="00D71516"/>
    <w:rsid w:val="00D7665B"/>
    <w:rsid w:val="00DA69EB"/>
    <w:rsid w:val="00DB2C6D"/>
    <w:rsid w:val="00DC5448"/>
    <w:rsid w:val="00DC7583"/>
    <w:rsid w:val="00DD0E7F"/>
    <w:rsid w:val="00DD41F5"/>
    <w:rsid w:val="00DE3124"/>
    <w:rsid w:val="00DF026A"/>
    <w:rsid w:val="00DF2F68"/>
    <w:rsid w:val="00DF341A"/>
    <w:rsid w:val="00E116B0"/>
    <w:rsid w:val="00E30AFD"/>
    <w:rsid w:val="00E35DBA"/>
    <w:rsid w:val="00E4566D"/>
    <w:rsid w:val="00E51FC6"/>
    <w:rsid w:val="00E667A8"/>
    <w:rsid w:val="00E67191"/>
    <w:rsid w:val="00E71422"/>
    <w:rsid w:val="00E81208"/>
    <w:rsid w:val="00E95CE6"/>
    <w:rsid w:val="00EA7E49"/>
    <w:rsid w:val="00EC6819"/>
    <w:rsid w:val="00EE4DD1"/>
    <w:rsid w:val="00EE5FD3"/>
    <w:rsid w:val="00EE7B5A"/>
    <w:rsid w:val="00EF1798"/>
    <w:rsid w:val="00EF7056"/>
    <w:rsid w:val="00F00AFB"/>
    <w:rsid w:val="00F056CC"/>
    <w:rsid w:val="00F064F8"/>
    <w:rsid w:val="00F06A61"/>
    <w:rsid w:val="00F104C8"/>
    <w:rsid w:val="00F12399"/>
    <w:rsid w:val="00F1661C"/>
    <w:rsid w:val="00F16920"/>
    <w:rsid w:val="00F47526"/>
    <w:rsid w:val="00F47CBC"/>
    <w:rsid w:val="00F6390F"/>
    <w:rsid w:val="00F6535E"/>
    <w:rsid w:val="00F67762"/>
    <w:rsid w:val="00F915AE"/>
    <w:rsid w:val="00F963BD"/>
    <w:rsid w:val="00FA0CAD"/>
    <w:rsid w:val="00FB1B50"/>
    <w:rsid w:val="00FB6C00"/>
    <w:rsid w:val="00FC4C2D"/>
    <w:rsid w:val="00FC7C70"/>
    <w:rsid w:val="00FD5D34"/>
    <w:rsid w:val="00FD667C"/>
    <w:rsid w:val="00FE21D4"/>
    <w:rsid w:val="01157CD0"/>
    <w:rsid w:val="01D1786D"/>
    <w:rsid w:val="028007C7"/>
    <w:rsid w:val="030D1D54"/>
    <w:rsid w:val="030E7406"/>
    <w:rsid w:val="036730F9"/>
    <w:rsid w:val="036F2FCB"/>
    <w:rsid w:val="039C4B80"/>
    <w:rsid w:val="04934A97"/>
    <w:rsid w:val="04E951E7"/>
    <w:rsid w:val="0617574E"/>
    <w:rsid w:val="073A569E"/>
    <w:rsid w:val="07893F2F"/>
    <w:rsid w:val="07983134"/>
    <w:rsid w:val="07BD6694"/>
    <w:rsid w:val="07CF6959"/>
    <w:rsid w:val="088A3511"/>
    <w:rsid w:val="09F64BC4"/>
    <w:rsid w:val="0A726EFC"/>
    <w:rsid w:val="0B330637"/>
    <w:rsid w:val="0C601702"/>
    <w:rsid w:val="0E271518"/>
    <w:rsid w:val="0E5E2435"/>
    <w:rsid w:val="0EC87A33"/>
    <w:rsid w:val="10AE6B1D"/>
    <w:rsid w:val="115A0E16"/>
    <w:rsid w:val="11E84674"/>
    <w:rsid w:val="134A6C68"/>
    <w:rsid w:val="137B7CDA"/>
    <w:rsid w:val="13AF5665"/>
    <w:rsid w:val="13DE02BD"/>
    <w:rsid w:val="14ED5FAF"/>
    <w:rsid w:val="151579D2"/>
    <w:rsid w:val="15966195"/>
    <w:rsid w:val="16846935"/>
    <w:rsid w:val="16D57191"/>
    <w:rsid w:val="173C4B1A"/>
    <w:rsid w:val="18697B91"/>
    <w:rsid w:val="1A27385F"/>
    <w:rsid w:val="1BC82E20"/>
    <w:rsid w:val="1C17471A"/>
    <w:rsid w:val="1C265DE2"/>
    <w:rsid w:val="1D7B4C11"/>
    <w:rsid w:val="1DFE34BD"/>
    <w:rsid w:val="1E1D782B"/>
    <w:rsid w:val="20052895"/>
    <w:rsid w:val="20D14CA2"/>
    <w:rsid w:val="20FD1DAB"/>
    <w:rsid w:val="22491C09"/>
    <w:rsid w:val="22563A79"/>
    <w:rsid w:val="22885A35"/>
    <w:rsid w:val="22B32241"/>
    <w:rsid w:val="22C34341"/>
    <w:rsid w:val="23076753"/>
    <w:rsid w:val="259D2BCF"/>
    <w:rsid w:val="27964E8E"/>
    <w:rsid w:val="28BF30A6"/>
    <w:rsid w:val="28F50C62"/>
    <w:rsid w:val="2A2D265B"/>
    <w:rsid w:val="2CDF1D2D"/>
    <w:rsid w:val="2D5C05DE"/>
    <w:rsid w:val="2DDB340F"/>
    <w:rsid w:val="2EB931C8"/>
    <w:rsid w:val="2EEC3832"/>
    <w:rsid w:val="322A7352"/>
    <w:rsid w:val="3421285C"/>
    <w:rsid w:val="36C541DD"/>
    <w:rsid w:val="373063A5"/>
    <w:rsid w:val="37311A62"/>
    <w:rsid w:val="39500E6A"/>
    <w:rsid w:val="3B952C4D"/>
    <w:rsid w:val="3C447294"/>
    <w:rsid w:val="3CB271BE"/>
    <w:rsid w:val="3D115F7D"/>
    <w:rsid w:val="3D6231CA"/>
    <w:rsid w:val="3F0854EE"/>
    <w:rsid w:val="3F596BE1"/>
    <w:rsid w:val="40490A4D"/>
    <w:rsid w:val="40F06050"/>
    <w:rsid w:val="420E47DD"/>
    <w:rsid w:val="438D20D6"/>
    <w:rsid w:val="4396640D"/>
    <w:rsid w:val="43FA3BA2"/>
    <w:rsid w:val="4447497A"/>
    <w:rsid w:val="44C9538F"/>
    <w:rsid w:val="4510256F"/>
    <w:rsid w:val="451C7971"/>
    <w:rsid w:val="47236A8A"/>
    <w:rsid w:val="486A468F"/>
    <w:rsid w:val="49DE47AA"/>
    <w:rsid w:val="4B1F3F5B"/>
    <w:rsid w:val="4BF53D69"/>
    <w:rsid w:val="4D477799"/>
    <w:rsid w:val="4E4C125C"/>
    <w:rsid w:val="4F0A10D5"/>
    <w:rsid w:val="4F4B79F8"/>
    <w:rsid w:val="50D81716"/>
    <w:rsid w:val="51932264"/>
    <w:rsid w:val="519F24F7"/>
    <w:rsid w:val="51D456B5"/>
    <w:rsid w:val="531A192B"/>
    <w:rsid w:val="531E2D4A"/>
    <w:rsid w:val="53A475B9"/>
    <w:rsid w:val="53D1600F"/>
    <w:rsid w:val="54233482"/>
    <w:rsid w:val="5526596C"/>
    <w:rsid w:val="55864B84"/>
    <w:rsid w:val="55E445EE"/>
    <w:rsid w:val="56C600E7"/>
    <w:rsid w:val="56DF3D9A"/>
    <w:rsid w:val="575737CE"/>
    <w:rsid w:val="580738AF"/>
    <w:rsid w:val="58767185"/>
    <w:rsid w:val="589C3C3A"/>
    <w:rsid w:val="590201A7"/>
    <w:rsid w:val="5A690A56"/>
    <w:rsid w:val="5B8A71CF"/>
    <w:rsid w:val="5C220513"/>
    <w:rsid w:val="5C422553"/>
    <w:rsid w:val="5E1C4F9F"/>
    <w:rsid w:val="5E4A70E9"/>
    <w:rsid w:val="5E8A6558"/>
    <w:rsid w:val="5EB331C8"/>
    <w:rsid w:val="5ECB19CC"/>
    <w:rsid w:val="5EF36BCD"/>
    <w:rsid w:val="5F7F1730"/>
    <w:rsid w:val="606E520D"/>
    <w:rsid w:val="616747DD"/>
    <w:rsid w:val="623C36B0"/>
    <w:rsid w:val="630A3F6B"/>
    <w:rsid w:val="63216389"/>
    <w:rsid w:val="63945FF3"/>
    <w:rsid w:val="63CF6DF2"/>
    <w:rsid w:val="64BC5660"/>
    <w:rsid w:val="64C319A4"/>
    <w:rsid w:val="652B12FB"/>
    <w:rsid w:val="65EF42A5"/>
    <w:rsid w:val="67050051"/>
    <w:rsid w:val="677A0A3F"/>
    <w:rsid w:val="691622B6"/>
    <w:rsid w:val="69526202"/>
    <w:rsid w:val="69B119E6"/>
    <w:rsid w:val="6AD2649C"/>
    <w:rsid w:val="6B9F7B6E"/>
    <w:rsid w:val="6BE0340A"/>
    <w:rsid w:val="6C654CCE"/>
    <w:rsid w:val="6CCC645F"/>
    <w:rsid w:val="6D2B41A9"/>
    <w:rsid w:val="6D4F2CE1"/>
    <w:rsid w:val="6D5419EC"/>
    <w:rsid w:val="6DB56E82"/>
    <w:rsid w:val="6E34121C"/>
    <w:rsid w:val="6E8C40E8"/>
    <w:rsid w:val="6F686B45"/>
    <w:rsid w:val="70804FBB"/>
    <w:rsid w:val="70D96908"/>
    <w:rsid w:val="70FD03DD"/>
    <w:rsid w:val="715F1A22"/>
    <w:rsid w:val="715F2A54"/>
    <w:rsid w:val="72B27EDD"/>
    <w:rsid w:val="73014012"/>
    <w:rsid w:val="74C954E4"/>
    <w:rsid w:val="772936C7"/>
    <w:rsid w:val="7AA32EC0"/>
    <w:rsid w:val="7B8D0C09"/>
    <w:rsid w:val="7BC66537"/>
    <w:rsid w:val="7BDE0873"/>
    <w:rsid w:val="7BFF6846"/>
    <w:rsid w:val="7C701FB9"/>
    <w:rsid w:val="7C8D2B6B"/>
    <w:rsid w:val="7D394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autoRedefine/>
    <w:qFormat/>
    <w:uiPriority w:val="9"/>
    <w:pPr>
      <w:keepNext/>
      <w:keepLines/>
      <w:spacing w:after="50" w:afterLines="50" w:line="580" w:lineRule="exact"/>
      <w:jc w:val="center"/>
      <w:outlineLvl w:val="0"/>
    </w:pPr>
    <w:rPr>
      <w:rFonts w:ascii="方正小标宋简体" w:hAnsi="方正小标宋简体" w:eastAsia="方正小标宋简体"/>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widowControl/>
      <w:spacing w:after="160" w:line="240" w:lineRule="exact"/>
      <w:jc w:val="left"/>
      <w:outlineLvl w:val="2"/>
    </w:pPr>
    <w:rPr>
      <w:rFonts w:ascii="Verdana" w:hAnsi="Verdana"/>
      <w:kern w:val="0"/>
      <w:szCs w:val="2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autoRedefine/>
    <w:qFormat/>
    <w:uiPriority w:val="0"/>
    <w:pPr>
      <w:jc w:val="left"/>
    </w:pPr>
    <w:rPr>
      <w:rFonts w:ascii="Times New Roman" w:hAnsi="Times New Roman" w:eastAsia="宋体" w:cs="Times New Roman"/>
    </w:rPr>
  </w:style>
  <w:style w:type="paragraph" w:styleId="6">
    <w:name w:val="Balloon Text"/>
    <w:basedOn w:val="1"/>
    <w:link w:val="21"/>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19"/>
    <w:qFormat/>
    <w:uiPriority w:val="1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Emphasis"/>
    <w:basedOn w:val="12"/>
    <w:qFormat/>
    <w:uiPriority w:val="20"/>
    <w:rPr>
      <w:i/>
    </w:rPr>
  </w:style>
  <w:style w:type="character" w:customStyle="1" w:styleId="15">
    <w:name w:val="标题 1 Char"/>
    <w:basedOn w:val="12"/>
    <w:link w:val="2"/>
    <w:qFormat/>
    <w:uiPriority w:val="9"/>
    <w:rPr>
      <w:rFonts w:ascii="方正小标宋简体" w:hAnsi="方正小标宋简体" w:eastAsia="方正小标宋简体"/>
      <w:bCs/>
      <w:kern w:val="44"/>
      <w:sz w:val="44"/>
      <w:szCs w:val="44"/>
    </w:rPr>
  </w:style>
  <w:style w:type="paragraph" w:styleId="16">
    <w:name w:val="No Spacing"/>
    <w:autoRedefine/>
    <w:qFormat/>
    <w:uiPriority w:val="1"/>
    <w:pPr>
      <w:widowControl w:val="0"/>
      <w:ind w:firstLine="200" w:firstLineChars="200"/>
      <w:jc w:val="both"/>
    </w:pPr>
    <w:rPr>
      <w:rFonts w:ascii="仿宋" w:hAnsi="仿宋" w:eastAsiaTheme="minorEastAsia" w:cstheme="minorBidi"/>
      <w:kern w:val="2"/>
      <w:sz w:val="21"/>
      <w:szCs w:val="22"/>
      <w:lang w:val="en-US" w:eastAsia="zh-CN" w:bidi="ar-SA"/>
    </w:rPr>
  </w:style>
  <w:style w:type="character" w:customStyle="1" w:styleId="17">
    <w:name w:val="页眉 Char"/>
    <w:basedOn w:val="12"/>
    <w:link w:val="8"/>
    <w:qFormat/>
    <w:uiPriority w:val="99"/>
    <w:rPr>
      <w:rFonts w:ascii="仿宋" w:hAnsi="仿宋" w:eastAsia="仿宋"/>
      <w:sz w:val="18"/>
      <w:szCs w:val="18"/>
    </w:rPr>
  </w:style>
  <w:style w:type="character" w:customStyle="1" w:styleId="18">
    <w:name w:val="页脚 Char"/>
    <w:basedOn w:val="12"/>
    <w:link w:val="7"/>
    <w:qFormat/>
    <w:uiPriority w:val="99"/>
    <w:rPr>
      <w:rFonts w:ascii="仿宋" w:hAnsi="仿宋" w:eastAsia="仿宋"/>
      <w:sz w:val="18"/>
      <w:szCs w:val="18"/>
    </w:rPr>
  </w:style>
  <w:style w:type="character" w:customStyle="1" w:styleId="19">
    <w:name w:val="标题 Char"/>
    <w:basedOn w:val="12"/>
    <w:link w:val="9"/>
    <w:qFormat/>
    <w:uiPriority w:val="10"/>
    <w:rPr>
      <w:rFonts w:eastAsia="宋体" w:asciiTheme="majorHAnsi" w:hAnsiTheme="majorHAnsi" w:cstheme="majorBidi"/>
      <w:b/>
      <w:bCs/>
      <w:sz w:val="32"/>
      <w:szCs w:val="32"/>
    </w:rPr>
  </w:style>
  <w:style w:type="character" w:customStyle="1" w:styleId="20">
    <w:name w:val="批注文字 Char"/>
    <w:basedOn w:val="12"/>
    <w:link w:val="5"/>
    <w:qFormat/>
    <w:uiPriority w:val="0"/>
    <w:rPr>
      <w:rFonts w:ascii="Times New Roman" w:hAnsi="Times New Roman" w:eastAsia="宋体" w:cs="Times New Roman"/>
      <w:szCs w:val="24"/>
    </w:rPr>
  </w:style>
  <w:style w:type="character" w:customStyle="1" w:styleId="21">
    <w:name w:val="批注框文本 Char"/>
    <w:basedOn w:val="12"/>
    <w:link w:val="6"/>
    <w:semiHidden/>
    <w:qFormat/>
    <w:uiPriority w:val="99"/>
    <w:rPr>
      <w:sz w:val="18"/>
      <w:szCs w:val="18"/>
    </w:rPr>
  </w:style>
  <w:style w:type="paragraph" w:customStyle="1" w:styleId="22">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15</Pages>
  <Words>6830</Words>
  <Characters>7128</Characters>
  <Lines>70</Lines>
  <Paragraphs>19</Paragraphs>
  <TotalTime>1</TotalTime>
  <ScaleCrop>false</ScaleCrop>
  <LinksUpToDate>false</LinksUpToDate>
  <CharactersWithSpaces>7133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2024-06-26T01:54:00Z</dcterms:created>
  <dc:creator>K</dc:creator>
  <cp:lastModifiedBy>国晟招标</cp:lastModifiedBy>
  <cp:lastPrinted>2024-08-01T05:41:00Z</cp:lastPrinted>
  <dcterms:modified xsi:type="dcterms:W3CDTF">2026-06-26T10:09:01Z</dcterms:modified>
  <cp:revision>338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eyJoZGlkIjoiYTNhMzQ2NDU2MTEwZjhkMGExOTU1MzU5NDZkYjdhNTMiLCJ1c2VySWQiOiI0MjQxNTk0NjQifQ==</vt:lpwstr>
  </property>
  <property fmtid="{D5CDD505-2E9C-101B-9397-08002B2CF9AE}" pid="3" name="KSOProductBuildVer">
    <vt:lpwstr>2052-12.1.0.26895</vt:lpwstr>
  </property>
  <property fmtid="{D5CDD505-2E9C-101B-9397-08002B2CF9AE}" pid="4" name="ICV">
    <vt:lpwstr>43DD297232074C9288D3960EFAD5ABE5_13</vt:lpwstr>
  </property>
</Properties>
</file>